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2.png" ContentType="image/png"/>
  <Override PartName="/word/media/rId37.png" ContentType="image/png"/>
  <Override PartName="/word/media/rId4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4" w:name="results"/>
    <w:p>
      <w:pPr>
        <w:pStyle w:val="Heading2"/>
      </w:pPr>
      <w:r>
        <w:t xml:space="preserve">Results</w:t>
      </w:r>
    </w:p>
    <w:bookmarkStart w:id="30"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tumor/normal tissues and selected cell lines</w:t>
      </w:r>
      <w:r>
        <w:t xml:space="preserve"> </w:t>
      </w:r>
      <w:r>
        <w:t xml:space="preserve">[@doi:10.1093/neuonc/noz192]</w:t>
      </w:r>
      <w:r>
        <w:t xml:space="preserve"> </w:t>
      </w:r>
      <w:r>
        <w:t xml:space="preserve">from 943 patients from the Pediatric Brain Tumor Atlas (PBTA), consisting of 911 patients from the</w:t>
      </w:r>
      <w:r>
        <w:t xml:space="preserve"> </w:t>
      </w:r>
      <w:hyperlink r:id="rId20">
        <w:r>
          <w:rPr>
            <w:rStyle w:val="Hyperlink"/>
          </w:rPr>
          <w:t xml:space="preserve">CBTN</w:t>
        </w:r>
      </w:hyperlink>
      <w:r>
        <w:t xml:space="preserve"> </w:t>
      </w:r>
      <w:r>
        <w:t xml:space="preserve">[@doi:10.1016/j.neo.2022.100846]</w:t>
      </w:r>
      <w:r>
        <w:t xml:space="preserve"> </w:t>
      </w:r>
      <w:r>
        <w:t xml:space="preserve">and 32 patients from</w:t>
      </w:r>
      <w:r>
        <w:t xml:space="preserve"> </w:t>
      </w:r>
      <w:hyperlink r:id="rId21">
        <w:r>
          <w:rPr>
            <w:rStyle w:val="Hyperlink"/>
          </w:rPr>
          <w:t xml:space="preserve">PNOC</w:t>
        </w:r>
      </w:hyperlink>
      <w:r>
        <w:t xml:space="preserve"> </w:t>
      </w:r>
      <w:r>
        <w:t xml:space="preserve">[@doi:10.1002/ijc.32258; @doi:10.1158/1078-0432.CCR-22-0803]</w:t>
      </w:r>
      <w:r>
        <w:t xml:space="preserve"> </w:t>
      </w:r>
      <w:r>
        <w:t xml:space="preserve">(</w:t>
      </w:r>
      <w:r>
        <w:rPr>
          <w:bCs/>
          <w:b/>
        </w:rPr>
        <w:t xml:space="preserve">Figure {</w:t>
      </w:r>
      <w:r>
        <w:rPr>
          <w:bCs/>
          <w:b/>
        </w:rPr>
        <w:t xml:space="preserve">@fig:Fig1</w:t>
      </w:r>
      <w:r>
        <w:rPr>
          <w:bCs/>
          <w:b/>
        </w:rPr>
        <w:t xml:space="preserve">}A</w:t>
      </w:r>
      <w:r>
        <w:t xml:space="preserve">) across various histologies phrases of therapy (</w:t>
      </w:r>
      <w:r>
        <w:rPr>
          <w:bCs/>
          <w:b/>
        </w:rPr>
        <w:t xml:space="preserve">Figure {</w:t>
      </w:r>
      <w:r>
        <w:rPr>
          <w:bCs/>
          <w:b/>
        </w:rPr>
        <w:t xml:space="preserve">@fig:Fig1</w:t>
      </w:r>
      <w:r>
        <w:rPr>
          <w:bCs/>
          <w:b/>
        </w:rPr>
        <w:t xml:space="preserve">}B</w:t>
      </w:r>
      <w:r>
        <w:t xml:space="preserve">).</w:t>
      </w:r>
      <w:r>
        <w:t xml:space="preserve"> </w:t>
      </w:r>
      <w:r>
        <w:t xml:space="preserve">We harnessed and extended the benchmarking efforts of the</w:t>
      </w:r>
      <w:r>
        <w:t xml:space="preserve"> </w:t>
      </w:r>
      <w:hyperlink r:id="rId22">
        <w:r>
          <w:rPr>
            <w:rStyle w:val="Hyperlink"/>
          </w:rPr>
          <w:t xml:space="preserve">Gabriella Miller Kids First Data Resource Center</w:t>
        </w:r>
      </w:hyperlink>
      <w:r>
        <w:t xml:space="preserve"> </w:t>
      </w:r>
      <w:r>
        <w:t xml:space="preserve">to develop robust and reproducible data analysis workflows within the</w:t>
      </w:r>
      <w:r>
        <w:t xml:space="preserve"> </w:t>
      </w:r>
      <w:hyperlink r:id="rId23">
        <w:r>
          <w:rPr>
            <w:rStyle w:val="Hyperlink"/>
          </w:rPr>
          <w:t xml:space="preserve">CAVATICA platform</w:t>
        </w:r>
      </w:hyperlink>
      <w:r>
        <w:t xml:space="preserve"> </w:t>
      </w:r>
      <w:r>
        <w:t xml:space="preserve">for comprehensive somatic analyses (</w:t>
      </w:r>
      <w:r>
        <w:rPr>
          <w:bCs/>
          <w:b/>
        </w:rPr>
        <w:t xml:space="preserve">Figure {</w:t>
      </w:r>
      <w:r>
        <w:rPr>
          <w:bCs/>
          <w:b/>
        </w:rPr>
        <w:t xml:space="preserve">@fig:S1</w:t>
      </w:r>
      <w:r>
        <w:rPr>
          <w:bCs/>
          <w:b/>
        </w:rPr>
        <w:t xml:space="preserve">}</w:t>
      </w:r>
      <w:r>
        <w:t xml:space="preserve">) and</w:t>
      </w:r>
      <w:r>
        <w:t xml:space="preserve"> </w:t>
      </w:r>
      <w:r>
        <w:rPr>
          <w:bCs/>
          <w:b/>
        </w:rPr>
        <w:t xml:space="preserve">STAR Methods</w:t>
      </w:r>
      <w:r>
        <w:t xml:space="preserve">) of the PBTA.</w:t>
      </w:r>
    </w:p>
    <w:p>
      <w:pPr>
        <w:pStyle w:val="BodyText"/>
      </w:pPr>
      <w:r>
        <w:t xml:space="preserve">A key innovative feature of OpenPBTA is its open contribution framework used for analytical code and manuscript writing.</w:t>
      </w:r>
      <w:r>
        <w:t xml:space="preserve"> </w:t>
      </w:r>
      <w:r>
        <w:t xml:space="preserve">We created a public Github analysis repository (</w:t>
      </w:r>
      <w:hyperlink r:id="rId24">
        <w:r>
          <w:rPr>
            <w:rStyle w:val="Hyperlink"/>
          </w:rPr>
          <w:t xml:space="preserve">https://github.com/AlexsLemonade/OpenPBTA-analysis</w:t>
        </w:r>
      </w:hyperlink>
      <w:r>
        <w:t xml:space="preserve">) to hold all analysis code downstream of Kids First workflows and a GitHub manuscript repository (</w:t>
      </w:r>
      <w:hyperlink r:id="rId25">
        <w:r>
          <w:rPr>
            <w:rStyle w:val="Hyperlink"/>
          </w:rPr>
          <w:t xml:space="preserve">https://github.com/AlexsLemonade/OpenPBTA-manuscript</w:t>
        </w:r>
      </w:hyperlink>
      <w:r>
        <w:t xml:space="preserve">) with Manubot</w:t>
      </w:r>
      <w:r>
        <w:t xml:space="preserve"> </w:t>
      </w:r>
      <w:r>
        <w:t xml:space="preserve">[@doi:10.1371/journal.pcbi.1007128]</w:t>
      </w:r>
      <w:r>
        <w:t xml:space="preserve"> </w:t>
      </w:r>
      <w:r>
        <w:t xml:space="preserve">integration to enable real-time manuscript creation.</w:t>
      </w:r>
      <w:r>
        <w:t xml:space="preserve"> </w:t>
      </w:r>
      <w:r>
        <w:t xml:space="preserve">As all analyses and manuscript writing were conducted in public repositories, any researcher in the world could contribute to OpenPBTA following the process outlined in</w:t>
      </w:r>
      <w:r>
        <w:t xml:space="preserve"> </w:t>
      </w:r>
      <w:r>
        <w:rPr>
          <w:bCs/>
          <w:b/>
        </w:rPr>
        <w:t xml:space="preserve">Figure {</w:t>
      </w:r>
      <w:r>
        <w:rPr>
          <w:bCs/>
          <w:b/>
        </w:rPr>
        <w:t xml:space="preserve">@fig:Fig1</w:t>
      </w:r>
      <w:r>
        <w:rPr>
          <w:bCs/>
          <w:b/>
        </w:rPr>
        <w:t xml:space="preserve">}C</w:t>
      </w:r>
      <w:r>
        <w:t xml:space="preserve">.</w:t>
      </w:r>
      <w:r>
        <w:t xml:space="preserve"> </w:t>
      </w:r>
      <w:r>
        <w:t xml:space="preserve">First, a potential contributor proposed an analysis by filing an issue in the GitHub analysis repository.</w:t>
      </w:r>
      <w:r>
        <w:t xml:space="preserve"> </w:t>
      </w:r>
      <w:r>
        <w:t xml:space="preserve">Next, project organizers or other contributors with expertise provided feedback about the proposed analysis (</w:t>
      </w:r>
      <w:r>
        <w:rPr>
          <w:bCs/>
          <w:b/>
        </w:rPr>
        <w:t xml:space="preserve">Figure {</w:t>
      </w:r>
      <w:r>
        <w:rPr>
          <w:bCs/>
          <w:b/>
        </w:rPr>
        <w:t xml:space="preserve">@fig:Fig1</w:t>
      </w:r>
      <w:r>
        <w:rPr>
          <w:bCs/>
          <w:b/>
        </w:rPr>
        <w:t xml:space="preserve">}C</w:t>
      </w:r>
      <w:r>
        <w:t xml:space="preserve">).</w:t>
      </w:r>
      <w:r>
        <w:t xml:space="preserve"> </w:t>
      </w:r>
      <w:r>
        <w:t xml:space="preserve">The contributor formally requested to include their analytical code and results – written in their own copy (fork) of repository – in the OpenPBTA analysis repository by filing a GitHub pull request (PR).</w:t>
      </w:r>
      <w:r>
        <w:t xml:space="preserve"> </w:t>
      </w:r>
      <w:r>
        <w:t xml:space="preserve">All PRs underwent peer review to ensure scientific accuracy, maintainability, and readability of code and documentation (</w:t>
      </w:r>
      <w:r>
        <w:rPr>
          <w:bCs/>
          <w:b/>
        </w:rPr>
        <w:t xml:space="preserve">Figure {</w:t>
      </w:r>
      <w:r>
        <w:rPr>
          <w:bCs/>
          <w:b/>
        </w:rPr>
        <w:t xml:space="preserve">@fig:Fig1</w:t>
      </w:r>
      <w:r>
        <w:rPr>
          <w:bCs/>
          <w:b/>
        </w:rPr>
        <w:t xml:space="preserve">}C-D</w:t>
      </w:r>
      <w:r>
        <w:t xml:space="preserve">).</w:t>
      </w:r>
    </w:p>
    <w:p>
      <w:pPr>
        <w:pStyle w:val="BodyText"/>
      </w:pPr>
      <w:r>
        <w:t xml:space="preserve">Beyond peer review, we implemented additional checks to ensure consistent results for all collaborators over time (</w:t>
      </w:r>
      <w:r>
        <w:rPr>
          <w:bCs/>
          <w:b/>
        </w:rPr>
        <w:t xml:space="preserve">Figure {</w:t>
      </w:r>
      <w:r>
        <w:rPr>
          <w:bCs/>
          <w:b/>
        </w:rPr>
        <w:t xml:space="preserve">@fig:Fig1</w:t>
      </w:r>
      <w:r>
        <w:rPr>
          <w:bCs/>
          <w:b/>
        </w:rPr>
        <w:t xml:space="preserve">}D</w:t>
      </w:r>
      <w:r>
        <w:t xml:space="preserve">).</w:t>
      </w:r>
      <w:r>
        <w:t xml:space="preserve"> </w:t>
      </w:r>
      <w:r>
        <w:t xml:space="preserve">To provide a consistent software development environment, we created a monolithic image with all OpenPBTA dependencies using Docker®</w:t>
      </w:r>
      <w:r>
        <w:t xml:space="preserve"> </w:t>
      </w:r>
      <w:r>
        <w:t xml:space="preserve">[@https://dl.acm.org/doi/10.5555/2600239.2600241]</w:t>
      </w:r>
      <w:r>
        <w:t xml:space="preserve"> </w:t>
      </w:r>
      <w:r>
        <w:t xml:space="preserve">and the Rocker project</w:t>
      </w:r>
      <w:r>
        <w:t xml:space="preserve"> </w:t>
      </w:r>
      <w:r>
        <w:t xml:space="preserve">[@https://doi.org/10.48550/arXiv.1710.03675]</w:t>
      </w:r>
      <w:r>
        <w:t xml:space="preserve">.</w:t>
      </w:r>
      <w:r>
        <w:t xml:space="preserve"> </w:t>
      </w:r>
      <w:r>
        <w:t xml:space="preserve">We used the continuous integration (CI) service CircleCI® to run analytical code in PRs on a test dataset before formal code review, allowing us to detect code bugs or sensitivity to data release changes.</w:t>
      </w:r>
    </w:p>
    <w:p>
      <w:pPr>
        <w:pStyle w:val="BodyText"/>
      </w:pPr>
      <w:r>
        <w:t xml:space="preserve">We followed a similar process in our Manubot-powered</w:t>
      </w:r>
      <w:r>
        <w:t xml:space="preserve"> </w:t>
      </w:r>
      <w:r>
        <w:t xml:space="preserve">[@doi:10.1371/journal.pcbi.1007128]</w:t>
      </w:r>
      <w:r>
        <w:t xml:space="preserve"> </w:t>
      </w:r>
      <w:r>
        <w:t xml:space="preserve">repository for proposed manuscript additions (</w:t>
      </w:r>
      <w:r>
        <w:rPr>
          <w:bCs/>
          <w:b/>
        </w:rPr>
        <w:t xml:space="preserve">Figure {</w:t>
      </w:r>
      <w:r>
        <w:rPr>
          <w:bCs/>
          <w:b/>
        </w:rPr>
        <w:t xml:space="preserve">@fig:Fig1</w:t>
      </w:r>
      <w:r>
        <w:rPr>
          <w:bCs/>
          <w:b/>
        </w:rPr>
        <w:t xml:space="preserve">}C</w:t>
      </w:r>
      <w:r>
        <w:t xml:space="preserve">); peer reviewers ensured clarity and scientific accuracy, and Manubot performed spell-checking.</w:t>
      </w:r>
    </w:p>
    <w:p>
      <w:pPr>
        <w:pStyle w:val="CaptionedFigure"/>
      </w:pPr>
      <w:bookmarkStart w:id="29" w:name="fig:Fig1"/>
      <w:r>
        <w:drawing>
          <wp:inline>
            <wp:extent cx="5334000" cy="5927015"/>
            <wp:effectExtent b="0" l="0" r="0" t="0"/>
            <wp:docPr descr="Overview of the OpenPBTA Project. A, CBTN and PNOC collected tumors from 943 patients. 22 tumor cell lines were created, and over 2000 specimens were sequenced (N = 1035 RNA-Seq, N = 940 WGS, and N = 32 WXS or targeted panel). Data was harmonized by the Kids First Data Resource Center using Amazon S3 through CAVATICA. B, Stacked bar plot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 A contributor proposed an analysis, implemented it in their fork, and filed a pull request (PR) to add changes to the analysis repository. PRs underwent review for scientific rigor and implementation correctness. Using container and continuous integration technologies, PRs were checked to ensure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Panel A created with BioRender.com." title="" id="27" name="Picture"/>
            <a:graphic>
              <a:graphicData uri="http://schemas.openxmlformats.org/drawingml/2006/picture">
                <pic:pic>
                  <pic:nvPicPr>
                    <pic:cNvPr descr="https://raw.githubusercontent.com/AlexsLemonade/OpenPBTA-analysis/37ec62fdc2fd9ff157f2f2c10b69e9bb36673363/figures/pngs/figure1.png?sanitize=true" id="28" name="Picture"/>
                    <pic:cNvPicPr>
                      <a:picLocks noChangeArrowheads="1" noChangeAspect="1"/>
                    </pic:cNvPicPr>
                  </pic:nvPicPr>
                  <pic:blipFill>
                    <a:blip r:embed="rId26"/>
                    <a:stretch>
                      <a:fillRect/>
                    </a:stretch>
                  </pic:blipFill>
                  <pic:spPr bwMode="auto">
                    <a:xfrm>
                      <a:off x="0" y="0"/>
                      <a:ext cx="5334000" cy="5927015"/>
                    </a:xfrm>
                    <a:prstGeom prst="rect">
                      <a:avLst/>
                    </a:prstGeom>
                    <a:noFill/>
                    <a:ln w="9525">
                      <a:noFill/>
                      <a:headEnd/>
                      <a:tailEnd/>
                    </a:ln>
                  </pic:spPr>
                </pic:pic>
              </a:graphicData>
            </a:graphic>
          </wp:inline>
        </w:drawing>
      </w:r>
      <w:bookmarkEnd w:id="29"/>
    </w:p>
    <w:p>
      <w:pPr>
        <w:pStyle w:val="ImageCaption"/>
      </w:pPr>
      <w:r>
        <w:rPr>
          <w:bCs/>
          <w:b/>
        </w:rPr>
        <w:t xml:space="preserve">Overview of the OpenPBTA Project.</w:t>
      </w:r>
      <w:r>
        <w:t xml:space="preserve"> </w:t>
      </w:r>
      <w:r>
        <w:t xml:space="preserve">A, CBTN and PNOC collected tumors from 943 patients. 22 tumor cell lines were created, and over 2000 specimens were sequenced (N = 1035 RNA-Seq, N = 940 WGS, and N = 32 WXS or targeted panel). Data was harmonized by the Kids First Data Resource Center using Amazon S3 through CAVATICA. B, Stacked bar plot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C, Overview of the open analysis and manuscript contribution model. A contributor proposed an analysis, implemented it in their fork, and filed a pull request (PR) to add changes to the analysis repository. PRs underwent review for scientific rigor and implementation correctness. Using container and continuous integration technologies, PRs were checked to ensure all software dependencies were included and code was not sensitive to underlying data changes. Finally, a contributor filed a PR documenting their methods and results to the Manubot-powered manuscript repository for review. D, A potential path for an analytical PR. Arrows indicate revisions. Panel A created with BioRender.com.</w:t>
      </w:r>
    </w:p>
    <w:bookmarkEnd w:id="30"/>
    <w:bookmarkStart w:id="31" w:name="X22fb5780b2fe072cb1160065b5df38b82a45a6a"/>
    <w:p>
      <w:pPr>
        <w:pStyle w:val="Heading3"/>
      </w:pPr>
      <w:r>
        <w:t xml:space="preserve">Molecular Subtyping of OpenPBTA CNS Tumors</w:t>
      </w:r>
    </w:p>
    <w:p>
      <w:pPr>
        <w:pStyle w:val="FirstParagraph"/>
      </w:pPr>
      <w:r>
        <w:t xml:space="preserve">Since 2000, neuro-oncology experts and the WHO have collaborated to iteratively redefine central nervous system (CNS) tumor classifications</w:t>
      </w:r>
      <w:r>
        <w:t xml:space="preserve"> </w:t>
      </w:r>
      <w:r>
        <w:t xml:space="preserve">[@pubmed:11895036; @doi:10.1007/s00401-007-0243-4]</w:t>
      </w:r>
      <w:r>
        <w:t xml:space="preserve">.</w:t>
      </w:r>
      <w:r>
        <w:t xml:space="preserve"> </w:t>
      </w:r>
      <w:r>
        <w:t xml:space="preserve">In 2016</w:t>
      </w:r>
      <w:r>
        <w:t xml:space="preserve"> </w:t>
      </w:r>
      <w:r>
        <w:t xml:space="preserve">[@doi:10.1007/s00401-016-1545-1]</w:t>
      </w:r>
      <w:r>
        <w:t xml:space="preserve">, molecular subtypes driven by genetic alterations were integrated into these classifications.</w:t>
      </w:r>
      <w:r>
        <w:t xml:space="preserve"> </w:t>
      </w:r>
      <w:r>
        <w:t xml:space="preserve">Since CBTN specimen collection began in 2011 before molecular data were classified, most tumors lacked molecular subtype information when tissue was collected.</w:t>
      </w:r>
      <w:r>
        <w:t xml:space="preserve"> </w:t>
      </w:r>
      <w:r>
        <w:t xml:space="preserve">Moreover, PBTA does not yet feature methylation arrays which are increasingly used to inform molecular subtyping and cancer diagnosis.</w:t>
      </w:r>
      <w:r>
        <w:t xml:space="preserve"> </w:t>
      </w:r>
      <w:r>
        <w:t xml:space="preserve">Therefore, we created analysis modules to systematically consider key genomic features of tumors described by the WHO in 2016 or Ryall and colleagues</w:t>
      </w:r>
      <w:r>
        <w:t xml:space="preserve"> </w:t>
      </w:r>
      <w:r>
        <w:t xml:space="preserve">[@doi:10.1016/j.ccell.2020.03.011]</w:t>
      </w:r>
      <w:r>
        <w:t xml:space="preserve">.</w:t>
      </w:r>
      <w:r>
        <w:t xml:space="preserve"> </w:t>
      </w:r>
      <w:r>
        <w:t xml:space="preserve">Coupled with clinician and pathologist review, we generated research-grade high confidence integrated diagnoses for 60% (644/1074) of tumors (</w:t>
      </w:r>
      <w:r>
        <w:rPr>
          <w:bCs/>
          <w:b/>
        </w:rPr>
        <w:t xml:space="preserve">Table S1</w:t>
      </w:r>
      <w:r>
        <w:t xml:space="preserve">) without methylation data, a major innovation of this project.</w:t>
      </w:r>
      <w:r>
        <w:t xml:space="preserve"> </w:t>
      </w:r>
      <w:r>
        <w:t xml:space="preserve"> </w:t>
      </w:r>
      <w:r>
        <w:t xml:space="preserve">We could then align OpenPBTA specimen diagnoses with WHO classifications (e.g., tumors formerly ascribed primitive neuro-ectodermal tumor [PNET] diagnoses), discover rarer tumor entities (e.g., H3-mutant ependymoma, meningioma with</w:t>
      </w:r>
      <w:r>
        <w:t xml:space="preserve"> </w:t>
      </w:r>
      <w:r>
        <w:rPr>
          <w:iCs/>
          <w:i/>
        </w:rPr>
        <w:t xml:space="preserve">YAP1::FAM118B</w:t>
      </w:r>
      <w:r>
        <w:t xml:space="preserve"> </w:t>
      </w:r>
      <w:r>
        <w:t xml:space="preserve">fusion), as well as identify and correct data entry errors (e.g., an embryonal tumor with multilayer rosettes (ETMR) incorrectly entered as a medulloblastoma) and histologically mis-identified specimens (e.g., Ewing sarcoma sample labeled as a craniopharyngioma).</w:t>
      </w:r>
      <w:r>
        <w:t xml:space="preserve"> </w:t>
      </w:r>
      <w:r>
        <w:t xml:space="preserve">Uniquely, we used transcriptomic classification to subtype 122 medulloblastomas into SHH, WNT, Group 3, or Group 4 with</w:t>
      </w:r>
      <w:r>
        <w:t xml:space="preserve"> </w:t>
      </w:r>
      <w:r>
        <w:rPr>
          <w:rStyle w:val="VerbatimChar"/>
        </w:rPr>
        <w:t xml:space="preserve">MedulloClassifier</w:t>
      </w:r>
      <w:r>
        <w:t xml:space="preserve"> </w:t>
      </w:r>
      <w:r>
        <w:t xml:space="preserve">[@doi:10.1371/journal.pcbi.1008263]</w:t>
      </w:r>
      <w:r>
        <w:t xml:space="preserve"> </w:t>
      </w:r>
      <w:r>
        <w:t xml:space="preserve">and</w:t>
      </w:r>
      <w:r>
        <w:t xml:space="preserve"> </w:t>
      </w:r>
      <w:r>
        <w:rPr>
          <w:rStyle w:val="VerbatimChar"/>
        </w:rPr>
        <w:t xml:space="preserve">MM2S</w:t>
      </w:r>
      <w:r>
        <w:t xml:space="preserve"> </w:t>
      </w:r>
      <w:r>
        <w:t xml:space="preserve">[@doi:10.1186/s13029-016-0053-y]</w:t>
      </w:r>
      <w:r>
        <w:t xml:space="preserve">, with 95% (41/43) and 91% (39/43) accuracy, respectively.</w:t>
      </w:r>
    </w:p>
    <w:p>
      <w:pPr>
        <w:pStyle w:val="BodyText"/>
      </w:pPr>
      <w:r>
        <w:t xml:space="preserve">In total, we subtyped low-grade gliomas (LGGs) (N = 290), HGGs (N = 141), embryonal tumors (N = 126), ependymomas (N = 33), tumors of sellar region (N = 27), mesenchymal non-meningothelial tumors (N = 11), glialneuronal tumors (N = 10), and chordomas (N = 6), where Ns represent unique tumors (</w:t>
      </w:r>
      <w:r>
        <w:rPr>
          <w:bCs/>
          <w:b/>
        </w:rPr>
        <w:t xml:space="preserve">Table {</w:t>
      </w:r>
      <w:r>
        <w:rPr>
          <w:bCs/>
          <w:b/>
        </w:rPr>
        <w:t xml:space="preserve">@tbl:Table1</w:t>
      </w:r>
      <w:r>
        <w:rPr>
          <w:bCs/>
          <w:b/>
        </w:rPr>
        <w:t xml:space="preserve">}</w:t>
      </w:r>
      <w:r>
        <w:t xml:space="preserve">).</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 {</w:t>
      </w:r>
      <w:r>
        <w:rPr>
          <w:bCs/>
          <w:b/>
        </w:rPr>
        <w:t xml:space="preserve">@fig:S1</w:t>
      </w:r>
      <w:r>
        <w:rPr>
          <w:bCs/>
          <w:b/>
        </w:rPr>
        <w:t xml:space="preserve">}</w:t>
      </w:r>
      <w:r>
        <w:t xml:space="preserve">.</w:t>
      </w:r>
    </w:p>
    <w:p>
      <w:pPr>
        <w:pStyle w:val="TableCaption"/>
      </w:pPr>
      <w:r>
        <w:rPr>
          <w:bCs/>
          <w:b/>
        </w:rPr>
        <w:t xml:space="preserve">Molecular subtypes generated through the OpenPBTA project.</w:t>
      </w:r>
      <w:r>
        <w:t xml:space="preserve"> </w:t>
      </w:r>
      <w:r>
        <w:t xml:space="preserve">Listed are broad tumor histologies, molecular subtypes generated, and number of patients and tumors subtyped within OpenPBTA. {#tbl:Table1}</w:t>
      </w:r>
    </w:p>
    <w:tbl>
      <w:tblPr>
        <w:tblStyle w:val="Table"/>
        <w:tblW w:type="pct" w:w="5000"/>
        <w:tblLook w:firstRow="1" w:lastRow="0" w:firstColumn="0" w:lastColumn="0" w:noHBand="0" w:noVBand="0" w:val="0020"/>
        <w:tblCaption w:val="Molecular subtypes generated through the OpenPBTA project. Listed are broad tumor histologies, molecular subtypes generated, and number of patients and tumors subtyped within OpenPBTA. {#tbl:Table1}"/>
      </w:tblPr>
      <w:tblGrid>
        <w:gridCol w:w="3215"/>
        <w:gridCol w:w="3293"/>
        <w:gridCol w:w="784"/>
        <w:gridCol w:w="627"/>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Patients</w:t>
            </w:r>
          </w:p>
        </w:tc>
        <w:tc>
          <w:tcPr/>
          <w:p>
            <w:pPr>
              <w:pStyle w:val="Compact"/>
              <w:jc w:val="left"/>
            </w:pPr>
            <w:r>
              <w:t xml:space="preserve">Tumors</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2</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48</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24</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Ependymoma</w:t>
            </w:r>
          </w:p>
        </w:tc>
        <w:tc>
          <w:tcPr/>
          <w:p>
            <w:pPr>
              <w:pStyle w:val="Compact"/>
              <w:jc w:val="left"/>
            </w:pPr>
            <w:r>
              <w:t xml:space="preserve">EPN, H3 K28</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Ependymoma</w:t>
            </w:r>
          </w:p>
        </w:tc>
        <w:tc>
          <w:tcPr/>
          <w:p>
            <w:pPr>
              <w:pStyle w:val="Compact"/>
              <w:jc w:val="left"/>
            </w:pPr>
            <w:r>
              <w:t xml:space="preserve">EPN, ST RELA</w:t>
            </w:r>
          </w:p>
        </w:tc>
        <w:tc>
          <w:tcPr/>
          <w:p>
            <w:pPr>
              <w:pStyle w:val="Compact"/>
              <w:jc w:val="left"/>
            </w:pPr>
            <w:r>
              <w:t xml:space="preserve">25</w:t>
            </w:r>
          </w:p>
        </w:tc>
        <w:tc>
          <w:tcPr/>
          <w:p>
            <w:pPr>
              <w:pStyle w:val="Compact"/>
              <w:jc w:val="left"/>
            </w:pPr>
            <w:r>
              <w:t xml:space="preserve">28</w:t>
            </w:r>
          </w:p>
        </w:tc>
      </w:tr>
      <w:tr>
        <w:tc>
          <w:tcPr/>
          <w:p>
            <w:pPr>
              <w:pStyle w:val="Compact"/>
              <w:jc w:val="left"/>
            </w:pPr>
            <w:r>
              <w:t xml:space="preserve">Ependymoma</w:t>
            </w:r>
          </w:p>
        </w:tc>
        <w:tc>
          <w:tcPr/>
          <w:p>
            <w:pPr>
              <w:pStyle w:val="Compact"/>
              <w:jc w:val="left"/>
            </w:pPr>
            <w:r>
              <w:t xml:space="preserve">EPN, ST YAP1</w:t>
            </w:r>
          </w:p>
        </w:tc>
        <w:tc>
          <w:tcPr/>
          <w:p>
            <w:pPr>
              <w:pStyle w:val="Compact"/>
              <w:jc w:val="left"/>
            </w:pPr>
            <w:r>
              <w:t xml:space="preserve">3</w:t>
            </w:r>
          </w:p>
        </w:tc>
        <w:tc>
          <w:tcPr/>
          <w:p>
            <w:pPr>
              <w:pStyle w:val="Compact"/>
              <w:jc w:val="left"/>
            </w:pPr>
            <w:r>
              <w:t xml:space="preserve">4</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18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10</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30</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26</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14</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25</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106</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11</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8</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33</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10</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9</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1</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577</w:t>
            </w:r>
          </w:p>
        </w:tc>
        <w:tc>
          <w:tcPr/>
          <w:p>
            <w:pPr>
              <w:pStyle w:val="Compact"/>
              <w:jc w:val="left"/>
            </w:pPr>
            <w:r>
              <w:t xml:space="preserve">644</w:t>
            </w:r>
          </w:p>
        </w:tc>
      </w:tr>
    </w:tbl>
    <w:bookmarkEnd w:id="31"/>
    <w:bookmarkStart w:id="36"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all 1,074 PBTA tumors (N = 1,019 RNA-Seq, N = 918 WGS, N = 32 WXS/Panel) and 22 cell lines (N = 16 RNA-Seq, N = 22 WGS), from 943 patients, 833 with paired normal specimens (N = 801 WGS, N = 32 WXS/Panel).</w:t>
      </w:r>
      <w:r>
        <w:t xml:space="preserve"> </w:t>
      </w:r>
      <w:r>
        <w:t xml:space="preserve">Tumor purity across PBTA samples was high (median 76%), though we observed some cancer groups with lower purity, including SEGA, PXA, and teratoma (</w:t>
      </w:r>
      <w:r>
        <w:rPr>
          <w:bCs/>
          <w:b/>
        </w:rPr>
        <w:t xml:space="preserve">Figure {</w:t>
      </w:r>
      <w:r>
        <w:rPr>
          <w:bCs/>
          <w:b/>
        </w:rPr>
        <w:t xml:space="preserve">@fig:S3</w:t>
      </w:r>
      <w:r>
        <w:rPr>
          <w:bCs/>
          <w:b/>
        </w:rPr>
        <w:t xml:space="preserve">}A</w:t>
      </w:r>
      <w:r>
        <w:t xml:space="preserve">).</w:t>
      </w:r>
      <w:r>
        <w:t xml:space="preserve"> </w:t>
      </w:r>
      <w:r>
        <w:t xml:space="preserve">Unless otherwise noted, each analysis was performed for diagnostic tumors using one tumor per patient.</w:t>
      </w:r>
    </w:p>
    <w:p>
      <w:pPr>
        <w:pStyle w:val="BodyText"/>
      </w:pPr>
      <w:r>
        <w:t xml:space="preserve">SNV consensus calling (</w:t>
      </w:r>
      <w:r>
        <w:rPr>
          <w:bCs/>
          <w:b/>
        </w:rPr>
        <w:t xml:space="preserve">Figure {</w:t>
      </w:r>
      <w:r>
        <w:rPr>
          <w:bCs/>
          <w:b/>
        </w:rPr>
        <w:t xml:space="preserve">@fig:S1</w:t>
      </w:r>
      <w:r>
        <w:rPr>
          <w:bCs/>
          <w:b/>
        </w:rPr>
        <w:t xml:space="preserve">}</w:t>
      </w:r>
      <w:r>
        <w:t xml:space="preserve"> </w:t>
      </w:r>
      <w:r>
        <w:t xml:space="preserve">and</w:t>
      </w:r>
      <w:r>
        <w:t xml:space="preserve"> </w:t>
      </w:r>
      <w:r>
        <w:rPr>
          <w:bCs/>
          <w:b/>
        </w:rPr>
        <w:t xml:space="preserve">Figure {</w:t>
      </w:r>
      <w:r>
        <w:rPr>
          <w:bCs/>
          <w:b/>
        </w:rPr>
        <w:t xml:space="preserve">@fig:S2</w:t>
      </w:r>
      <w:r>
        <w:rPr>
          <w:bCs/>
          <w:b/>
        </w:rPr>
        <w:t xml:space="preserve">}A-G</w:t>
      </w:r>
      <w:r>
        <w:t xml:space="preserve">) revealed, as expected, lower tumor mutation burden (TMB) (</w:t>
      </w:r>
      <w:r>
        <w:rPr>
          <w:bCs/>
          <w:b/>
        </w:rPr>
        <w:t xml:space="preserve">Figure {</w:t>
      </w:r>
      <w:r>
        <w:rPr>
          <w:bCs/>
          <w:b/>
        </w:rPr>
        <w:t xml:space="preserve">@fig:S2</w:t>
      </w:r>
      <w:r>
        <w:rPr>
          <w:bCs/>
          <w:b/>
        </w:rPr>
        <w:t xml:space="preserve">}H</w:t>
      </w:r>
      <w:r>
        <w:t xml:space="preserve">) in pediatric tumors compared to adult brain tumors from The Cancer Genome Atlas (TCGA) (</w:t>
      </w:r>
      <w:r>
        <w:rPr>
          <w:bCs/>
          <w:b/>
        </w:rPr>
        <w:t xml:space="preserve">Figure {</w:t>
      </w:r>
      <w:r>
        <w:rPr>
          <w:bCs/>
          <w:b/>
        </w:rPr>
        <w:t xml:space="preserve">@fig:S2</w:t>
      </w:r>
      <w:r>
        <w:rPr>
          <w:bCs/>
          <w:b/>
        </w:rPr>
        <w:t xml:space="preserve">}I</w:t>
      </w:r>
      <w:r>
        <w:t xml:space="preserve">), with hypermutant (&gt; 10 Mut/Mb) and ultra-hypermutant (&gt; 100 Mut/Mb) tumors</w:t>
      </w:r>
      <w:r>
        <w:t xml:space="preserve"> </w:t>
      </w:r>
      <w:r>
        <w:t xml:space="preserve">[@doi:10.1016/j.cell.2017.09.048]</w:t>
      </w:r>
      <w:r>
        <w:t xml:space="preserve"> </w:t>
      </w:r>
      <w:r>
        <w:t xml:space="preserve">only found within HGGs and embryonal tumors.</w:t>
      </w:r>
      <w:r>
        <w:t xml:space="preserve"> </w:t>
      </w:r>
      <w:r>
        <w:rPr>
          <w:bCs/>
          <w:b/>
        </w:rPr>
        <w:t xml:space="preserve">Figure {</w:t>
      </w:r>
      <w:r>
        <w:rPr>
          <w:bCs/>
          <w:b/>
        </w:rPr>
        <w:t xml:space="preserve">@fig:Fig2</w:t>
      </w:r>
      <w:r>
        <w:rPr>
          <w:bCs/>
          <w:b/>
        </w:rPr>
        <w:t xml:space="preserve">}</w:t>
      </w:r>
      <w:r>
        <w:t xml:space="preserve"> </w:t>
      </w:r>
      <w:r>
        <w:t xml:space="preserve">and</w:t>
      </w:r>
      <w:r>
        <w:t xml:space="preserve"> </w:t>
      </w:r>
      <w:r>
        <w:rPr>
          <w:bCs/>
          <w:b/>
        </w:rPr>
        <w:t xml:space="preserve">Figure {</w:t>
      </w:r>
      <w:r>
        <w:rPr>
          <w:bCs/>
          <w:b/>
        </w:rPr>
        <w:t xml:space="preserve">@fig:S3</w:t>
      </w:r>
      <w:r>
        <w:rPr>
          <w:bCs/>
          <w:b/>
        </w:rPr>
        <w:t xml:space="preserve">}B</w:t>
      </w:r>
      <w:r>
        <w:t xml:space="preserve"> </w:t>
      </w:r>
      <w:r>
        <w:t xml:space="preserve">depict oncoprints recapitulating known histology-specific driver genes in primary tumors across OpenPBTA histologies, and</w:t>
      </w:r>
      <w:r>
        <w:t xml:space="preserve"> </w:t>
      </w:r>
      <w:r>
        <w:rPr>
          <w:bCs/>
          <w:b/>
        </w:rPr>
        <w:t xml:space="preserve">Table S2</w:t>
      </w:r>
      <w:r>
        <w:t xml:space="preserve"> </w:t>
      </w:r>
      <w:r>
        <w:t xml:space="preserve">summarizes all detected alterations across cancer groups.</w:t>
      </w:r>
    </w:p>
    <w:p>
      <w:pPr>
        <w:pStyle w:val="BodyText"/>
      </w:pPr>
      <w:r>
        <w:t xml:space="preserve">As expected, most (62%, 140/226)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[@doi:10.1186/s40478-020-00902-z]</w:t>
      </w:r>
      <w:r>
        <w:t xml:space="preserve"> </w:t>
      </w:r>
      <w:r>
        <w:t xml:space="preserve">(</w:t>
      </w:r>
      <w:r>
        <w:rPr>
          <w:bCs/>
          <w:b/>
        </w:rPr>
        <w:t xml:space="preserve">Figure {</w:t>
      </w:r>
      <w:r>
        <w:rPr>
          <w:bCs/>
          <w:b/>
        </w:rPr>
        <w:t xml:space="preserve">@fig:Fig2</w:t>
      </w:r>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near-universal upregulation of the RAS/MAPK pathway in LGGs</w:t>
      </w:r>
      <w:r>
        <w:t xml:space="preserve"> </w:t>
      </w:r>
      <w:r>
        <w:t xml:space="preserve">[@doi:10.1186/s40478-020-00902-z; @doi:10.1016/j.ccell.2020.03.011]</w:t>
      </w:r>
      <w:r>
        <w:t xml:space="preserve">.</w:t>
      </w:r>
      <w:r>
        <w:t xml:space="preserve"> </w:t>
      </w:r>
      <w:r>
        <w:t xml:space="preserve">Indeed, gene set variant analysis (GSVA) revealed significant upregulation (ANOVA Bonferroni-corrected p &lt; 0.01) of the KRAS signaling pathway in LGGs (</w:t>
      </w:r>
      <w:r>
        <w:rPr>
          <w:bCs/>
          <w:b/>
        </w:rPr>
        <w:t xml:space="preserve">Figure {</w:t>
      </w:r>
      <w:r>
        <w:rPr>
          <w:bCs/>
          <w:b/>
        </w:rPr>
        <w:t xml:space="preserve">@fig:Fig5</w:t>
      </w:r>
      <w:r>
        <w:rPr>
          <w:bCs/>
          <w:b/>
        </w:rPr>
        <w:t xml:space="preserve">}B</w:t>
      </w:r>
      <w:r>
        <w:t xml:space="preserve">).</w:t>
      </w:r>
    </w:p>
    <w:p>
      <w:pPr>
        <w:pStyle w:val="BodyText"/>
      </w:pPr>
      <w:r>
        <w:t xml:space="preserve"> </w:t>
      </w:r>
      <w:r>
        <w:t xml:space="preserve">Most (N = 95) embryonal tumors were medulloblastomas from four characterized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 {</w:t>
      </w:r>
      <w:r>
        <w:rPr>
          <w:bCs/>
          <w:b/>
        </w:rPr>
        <w:t xml:space="preserve">@fig:Fig2</w:t>
      </w:r>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w:t>
      </w:r>
      <w:r>
        <w:t xml:space="preserve"> </w:t>
      </w:r>
      <w:r>
        <w:rPr>
          <w:bCs/>
          <w:b/>
        </w:rPr>
        <w:t xml:space="preserve">Table S2</w:t>
      </w:r>
      <w:r>
        <w:t xml:space="preserve">) and C19MC amplification in ETMRs (displayed within</w:t>
      </w:r>
      <w:r>
        <w:t xml:space="preserve"> </w:t>
      </w:r>
      <w:r>
        <w:t xml:space="preserve">“</w:t>
      </w:r>
      <w:r>
        <w:t xml:space="preserve">Other embryonal tumors</w:t>
      </w:r>
      <w:r>
        <w:t xml:space="preserve">”</w:t>
      </w:r>
      <w:r>
        <w:t xml:space="preserve"> </w:t>
      </w:r>
      <w:r>
        <w:t xml:space="preserve">in</w:t>
      </w:r>
      <w:r>
        <w:t xml:space="preserve"> </w:t>
      </w:r>
      <w:r>
        <w:rPr>
          <w:bCs/>
          <w:b/>
        </w:rPr>
        <w:t xml:space="preserve">Figure {</w:t>
      </w:r>
      <w:r>
        <w:rPr>
          <w:bCs/>
          <w:b/>
        </w:rPr>
        <w:t xml:space="preserve">@fig:Fig2</w:t>
      </w:r>
      <w:r>
        <w:rPr>
          <w:bCs/>
          <w:b/>
        </w:rPr>
        <w:t xml:space="preserve">}B</w:t>
      </w:r>
      <w:r>
        <w:t xml:space="preserve">)</w:t>
      </w:r>
      <w:r>
        <w:t xml:space="preserve"> </w:t>
      </w:r>
      <w:r>
        <w:t xml:space="preserve">[@doi:10.1007/s00401-020-02182-2; @doi:10.1093/neuonc/noab178; @doi:10.1186/s40478-020-00984-9; @doi:10.1038/nature22973]</w:t>
      </w:r>
      <w:r>
        <w:t xml:space="preserve">.</w:t>
      </w:r>
    </w:p>
    <w:p>
      <w:pPr>
        <w:pStyle w:val="BodyText"/>
      </w:pPr>
      <w:r>
        <w:t xml:space="preserve">Across HGGs,</w:t>
      </w:r>
      <w:r>
        <w:t xml:space="preserve"> </w:t>
      </w:r>
      <w:r>
        <w:rPr>
          <w:iCs/>
          <w:i/>
        </w:rPr>
        <w:t xml:space="preserve">TP53</w:t>
      </w:r>
      <w:r>
        <w:t xml:space="preserve"> </w:t>
      </w:r>
      <w:r>
        <w:t xml:space="preserve">(57%, 36/63) and</w:t>
      </w:r>
      <w:r>
        <w:t xml:space="preserve"> </w:t>
      </w:r>
      <w:r>
        <w:rPr>
          <w:iCs/>
          <w:i/>
        </w:rPr>
        <w:t xml:space="preserve">H3F3A</w:t>
      </w:r>
      <w:r>
        <w:t xml:space="preserve"> </w:t>
      </w:r>
      <w:r>
        <w:t xml:space="preserve">(54%, 34/63) were both most mutated and co-occurring genes (</w:t>
      </w:r>
      <w:r>
        <w:rPr>
          <w:bCs/>
          <w:b/>
        </w:rPr>
        <w:t xml:space="preserve">Figure {</w:t>
      </w:r>
      <w:r>
        <w:rPr>
          <w:bCs/>
          <w:b/>
        </w:rPr>
        <w:t xml:space="preserve">@fig:Fig2</w:t>
      </w:r>
      <w:r>
        <w:rPr>
          <w:bCs/>
          <w:b/>
        </w:rPr>
        <w:t xml:space="preserve">}A and C</w:t>
      </w:r>
      <w:r>
        <w:t xml:space="preserve">), followed by frequent mutations in</w:t>
      </w:r>
      <w:r>
        <w:t xml:space="preserve"> </w:t>
      </w:r>
      <w:r>
        <w:rPr>
          <w:iCs/>
          <w:i/>
        </w:rPr>
        <w:t xml:space="preserve">ATRX</w:t>
      </w:r>
      <w:r>
        <w:t xml:space="preserve"> </w:t>
      </w:r>
      <w:r>
        <w:t xml:space="preserve">(29%, 18/63) which is commonly mutated in gliomas</w:t>
      </w:r>
      <w:r>
        <w:t xml:space="preserve"> </w:t>
      </w:r>
      <w:r>
        <w:t xml:space="preserve">[@doi:10.1080/14728222.2018.1487953]</w:t>
      </w:r>
      <w:r>
        <w:t xml:space="preserve">.</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leverage multiple oncogenic mechanisms to activate tyrosine kinases, as previously reported</w:t>
      </w:r>
      <w:r>
        <w:t xml:space="preserve"> </w:t>
      </w:r>
      <w:r>
        <w:t xml:space="preserve">[@doi:10.1002/ijc.32258; @doi:10.1016/j.ccell.2017.08.017; @doi:10.1186/s40478-020-00905-w]</w:t>
      </w:r>
      <w:r>
        <w:t xml:space="preserve">.</w:t>
      </w:r>
      <w:r>
        <w:t xml:space="preserve"> </w:t>
      </w:r>
      <w:r>
        <w:t xml:space="preserve">GSVA showed upregulation (ANOVA Bonferroni-corrected p &lt; 0.01) of DNA repair, G2M checkpoint, and MYC pathways as well as downregulation of the TP53 pathway (</w:t>
      </w:r>
      <w:r>
        <w:rPr>
          <w:bCs/>
          <w:b/>
        </w:rPr>
        <w:t xml:space="preserve">Figure {</w:t>
      </w:r>
      <w:r>
        <w:rPr>
          <w:bCs/>
          <w:b/>
        </w:rPr>
        <w:t xml:space="preserve">@fig:Fig5</w:t>
      </w:r>
      <w:r>
        <w:rPr>
          <w:bCs/>
          <w:b/>
        </w:rPr>
        <w:t xml:space="preserve">}B</w:t>
      </w:r>
      <w:r>
        <w:t xml:space="preserve">).</w:t>
      </w:r>
      <w:r>
        <w:t xml:space="preserve"> </w:t>
      </w:r>
      <w:r>
        <w:t xml:space="preserve">The two ultra-hypoermutated tumors (&gt; 100 Mutations/Mb) were from patients with mismatch repair deficiency syndrome</w:t>
      </w:r>
      <w:r>
        <w:t xml:space="preserve"> </w:t>
      </w:r>
      <w:r>
        <w:t xml:space="preserve">[@doi:10.1093/neuonc/noz192]</w:t>
      </w:r>
      <w:r>
        <w:t xml:space="preserve">.</w:t>
      </w:r>
    </w:p>
    <w:p>
      <w:pPr>
        <w:pStyle w:val="BodyText"/>
      </w:pPr>
      <w:r>
        <w:t xml:space="preserve">Considering embryonal tumors, 25% (15/60) of ependymomas were</w:t>
      </w:r>
      <w:r>
        <w:t xml:space="preserve"> </w:t>
      </w:r>
      <w:r>
        <w:rPr>
          <w:iCs/>
          <w:i/>
        </w:rPr>
        <w:t xml:space="preserve">C11orf95::RELA</w:t>
      </w:r>
      <w:r>
        <w:t xml:space="preserve"> </w:t>
      </w:r>
      <w:r>
        <w:t xml:space="preserve">(now,</w:t>
      </w:r>
      <w:r>
        <w:t xml:space="preserve"> </w:t>
      </w:r>
      <w:r>
        <w:rPr>
          <w:iCs/>
          <w:i/>
        </w:rPr>
        <w:t xml:space="preserve">ZFTA::RELA</w:t>
      </w:r>
      <w:r>
        <w:t xml:space="preserve">) fusion-positive</w:t>
      </w:r>
      <w:r>
        <w:t xml:space="preserve"> </w:t>
      </w:r>
      <w:r>
        <w:t xml:space="preserve">[@doi:10.1038/nature13109]</w:t>
      </w:r>
      <w:r>
        <w:t xml:space="preserve">, and 68% (21/31) of craniopharyngiomas contained</w:t>
      </w:r>
      <w:r>
        <w:t xml:space="preserve"> </w:t>
      </w:r>
      <w:r>
        <w:rPr>
          <w:iCs/>
          <w:i/>
        </w:rPr>
        <w:t xml:space="preserve">CTNNB1</w:t>
      </w:r>
      <w:r>
        <w:t xml:space="preserve"> </w:t>
      </w:r>
      <w:r>
        <w:t xml:space="preserve">mutations (</w:t>
      </w:r>
      <w:r>
        <w:rPr>
          <w:bCs/>
          <w:b/>
        </w:rPr>
        <w:t xml:space="preserve">Figure {</w:t>
      </w:r>
      <w:r>
        <w:rPr>
          <w:bCs/>
          <w:b/>
        </w:rPr>
        <w:t xml:space="preserve">@fig:Fig2</w:t>
      </w:r>
      <w:r>
        <w:rPr>
          <w:bCs/>
          <w:b/>
        </w:rPr>
        <w:t xml:space="preserve">}D</w:t>
      </w:r>
      <w:r>
        <w:t xml:space="preserve">).</w:t>
      </w:r>
      <w:r>
        <w:t xml:space="preserve"> </w:t>
      </w:r>
      <w:r>
        <w:t xml:space="preserve">We observed somatic mutations or fusions in</w:t>
      </w:r>
      <w:r>
        <w:t xml:space="preserve"> </w:t>
      </w:r>
      <w:r>
        <w:rPr>
          <w:iCs/>
          <w:i/>
        </w:rPr>
        <w:t xml:space="preserve">NF2</w:t>
      </w:r>
      <w:r>
        <w:t xml:space="preserve"> </w:t>
      </w:r>
      <w:r>
        <w:t xml:space="preserve">in 41% (7/17) of meningiomas, 5% (3/60) of ependymomas, and 25% (3/12) of schwannomas, as well as rare fusions in</w:t>
      </w:r>
      <w:r>
        <w:t xml:space="preserve"> </w:t>
      </w:r>
      <w:r>
        <w:rPr>
          <w:iCs/>
          <w:i/>
        </w:rPr>
        <w:t xml:space="preserve">ERBB4</w:t>
      </w:r>
      <w:r>
        <w:t xml:space="preserve">,</w:t>
      </w:r>
      <w:r>
        <w:t xml:space="preserve"> </w:t>
      </w:r>
      <w:r>
        <w:rPr>
          <w:iCs/>
          <w:i/>
        </w:rPr>
        <w:t xml:space="preserve">YAP1</w:t>
      </w:r>
      <w:r>
        <w:t xml:space="preserve">, and/or</w:t>
      </w:r>
      <w:r>
        <w:t xml:space="preserve"> </w:t>
      </w:r>
      <w:r>
        <w:rPr>
          <w:iCs/>
          <w:i/>
        </w:rPr>
        <w:t xml:space="preserve">QKI</w:t>
      </w:r>
      <w:r>
        <w:t xml:space="preserve"> </w:t>
      </w:r>
      <w:r>
        <w:t xml:space="preserve">in 10% (6/60) of ependymomas.</w:t>
      </w:r>
      <w:r>
        <w:t xml:space="preserve"> </w:t>
      </w:r>
      <w:r>
        <w:t xml:space="preserve">DNETs harbored alterations in MAPK/PI3K pathway genes, as was previously reported</w:t>
      </w:r>
      <w:r>
        <w:t xml:space="preserve"> </w:t>
      </w:r>
      <w:r>
        <w:t xml:space="preserve">[@doi:10.1093/jnen/nlz101]</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p>
    <w:p>
      <w:pPr>
        <w:pStyle w:val="CaptionedFigure"/>
      </w:pPr>
      <w:bookmarkStart w:id="35" w:name="fig:Fig2"/>
      <w:r>
        <w:drawing>
          <wp:inline>
            <wp:extent cx="5334000" cy="3739332"/>
            <wp:effectExtent b="0" l="0" r="0" t="0"/>
            <wp:docPr descr="Mutational landscape of PBTA tumors. 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 Figure {@fig:S3}B. Histology (Cancer Group) and sex (Germline sex estimate) annotations are displayed under each plot. Only tumors with mutations in the listed genes are shown. Multiple CNVs are denoted as a complex event. N denotes the number of unique tumors (one tumor per patient)." title="" id="33" name="Picture"/>
            <a:graphic>
              <a:graphicData uri="http://schemas.openxmlformats.org/drawingml/2006/picture">
                <pic:pic>
                  <pic:nvPicPr>
                    <pic:cNvPr descr="https://raw.githubusercontent.com/AlexsLemonade/OpenPBTA-analysis/37ec62fdc2fd9ff157f2f2c10b69e9bb36673363/figures/pngs/figure2.png?sanitize=true" id="34" name="Picture"/>
                    <pic:cNvPicPr>
                      <a:picLocks noChangeArrowheads="1" noChangeAspect="1"/>
                    </pic:cNvPicPr>
                  </pic:nvPicPr>
                  <pic:blipFill>
                    <a:blip r:embed="rId32"/>
                    <a:stretch>
                      <a:fillRect/>
                    </a:stretch>
                  </pic:blipFill>
                  <pic:spPr bwMode="auto">
                    <a:xfrm>
                      <a:off x="0" y="0"/>
                      <a:ext cx="5334000" cy="3739332"/>
                    </a:xfrm>
                    <a:prstGeom prst="rect">
                      <a:avLst/>
                    </a:prstGeom>
                    <a:noFill/>
                    <a:ln w="9525">
                      <a:noFill/>
                      <a:headEnd/>
                      <a:tailEnd/>
                    </a:ln>
                  </pic:spPr>
                </pic:pic>
              </a:graphicData>
            </a:graphic>
          </wp:inline>
        </w:drawing>
      </w:r>
      <w:bookmarkEnd w:id="35"/>
    </w:p>
    <w:p>
      <w:pPr>
        <w:pStyle w:val="ImageCaption"/>
      </w:pPr>
      <w:r>
        <w:rPr>
          <w:bCs/>
          <w:b/>
        </w:rPr>
        <w:t xml:space="preserve">Mutational landscape of PBTA tumors.</w:t>
      </w:r>
      <w:r>
        <w:t xml:space="preserve"> </w:t>
      </w:r>
      <w:r>
        <w:t xml:space="preserve">Frequencies of canonical somatic gene mutations, CNVs, fusions, and TMB (top bar plot) for the top mutated genes across primary tumors within the OpenPBTA dataset. A, LGGs (N = 226): pilocytic astrocytoma (N = 104), other LGG (N = 68), ganglioglioma (N = 35), pleomorphic xanthoastrocytoma (N = 9), subependymal giant cell astrocytoma (N = 10). B, Embryonal tumors (N = 129): medulloblastoma (N = 95), atypical teratoid rhabdoid tumor (N = 24), other embryonal tumor (N = 10). C, HGGs (N = 63): diffuse midline glioma (N = 36) and other HGG (N = 27). D, Other CNS tumors (N = 153): ependymoma (N = 60), craniopharyngioma (N = 31), meningioma (N = 17), dysembryoplastic neuroepithelial tumor (N = 19), Ewing sarcoma (N = 7), schwannoma (N = 12), and neurofibroma plexiform (N = 7). Rare CNS tumors are displayed in</w:t>
      </w:r>
      <w:r>
        <w:t xml:space="preserve"> </w:t>
      </w:r>
      <w:r>
        <w:rPr>
          <w:bCs/>
          <w:b/>
        </w:rPr>
        <w:t xml:space="preserve">Figure {</w:t>
      </w:r>
      <w:r>
        <w:rPr>
          <w:bCs/>
          <w:b/>
        </w:rPr>
        <w:t xml:space="preserve">@fig:S3</w:t>
      </w:r>
      <w:r>
        <w:rPr>
          <w:bCs/>
          <w:b/>
        </w:rPr>
        <w:t xml:space="preserve">}B</w:t>
      </w:r>
      <w:r>
        <w:t xml:space="preserve">. Histology (</w:t>
      </w:r>
      <w:r>
        <w:rPr>
          <w:rStyle w:val="VerbatimChar"/>
        </w:rPr>
        <w:t xml:space="preserve">Cancer Group</w:t>
      </w:r>
      <w:r>
        <w:t xml:space="preserve">) and sex (</w:t>
      </w:r>
      <w:r>
        <w:rPr>
          <w:rStyle w:val="VerbatimChar"/>
        </w:rPr>
        <w:t xml:space="preserve">Germline sex estimate</w:t>
      </w:r>
      <w:r>
        <w:t xml:space="preserve">) annotations are displayed under each plot. Only tumors with mutations in the listed genes are shown. Multiple CNVs are denoted as a complex event. N denotes the number of unique tumors (one tumor per patient).</w:t>
      </w:r>
    </w:p>
    <w:bookmarkEnd w:id="36"/>
    <w:bookmarkStart w:id="41"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across the OpenPBTA, using a single tumor from each patient (N = 688) with WGS.</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 {</w:t>
      </w:r>
      <w:r>
        <w:rPr>
          <w:bCs/>
          <w:b/>
        </w:rPr>
        <w:t xml:space="preserve">@fig:Fig3</w:t>
      </w:r>
      <w:r>
        <w:rPr>
          <w:bCs/>
          <w:b/>
        </w:rPr>
        <w:t xml:space="preserve">}</w:t>
      </w:r>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t xml:space="preserve">As expected,</w:t>
      </w:r>
      <w:r>
        <w:t xml:space="preserve"> </w:t>
      </w:r>
      <w:r>
        <w:rPr>
          <w:iCs/>
          <w:i/>
        </w:rPr>
        <w:t xml:space="preserve">TP53</w:t>
      </w:r>
      <w:r>
        <w:t xml:space="preserve"> </w:t>
      </w:r>
      <w:r>
        <w:t xml:space="preserve">was the most frequently mutated gene across the OpenPBTA (8.7%, 58/668), significantly co-occurring with</w:t>
      </w:r>
      <w:r>
        <w:t xml:space="preserve"> </w:t>
      </w:r>
      <w:r>
        <w:rPr>
          <w:iCs/>
          <w:i/>
        </w:rPr>
        <w:t xml:space="preserve">H3F3A</w:t>
      </w:r>
      <w:r>
        <w:t xml:space="preserve"> </w:t>
      </w:r>
      <w:r>
        <w:t xml:space="preserve">(OR = 30.05, 95% CI: 14.5 - 62.3, q = 2.34e-16),</w:t>
      </w:r>
      <w:r>
        <w:t xml:space="preserve"> </w:t>
      </w:r>
      <w:r>
        <w:rPr>
          <w:iCs/>
          <w:i/>
        </w:rPr>
        <w:t xml:space="preserve">ATRX</w:t>
      </w:r>
      <w:r>
        <w:t xml:space="preserve"> </w:t>
      </w:r>
      <w:r>
        <w:t xml:space="preserve">(OR = 23.3, 95% CI: 9.6 - 56.3, q = 8.72e-9),</w:t>
      </w:r>
      <w:r>
        <w:t xml:space="preserve"> </w:t>
      </w:r>
      <w:r>
        <w:rPr>
          <w:iCs/>
          <w:i/>
        </w:rPr>
        <w:t xml:space="preserve">NF1</w:t>
      </w:r>
      <w:r>
        <w:t xml:space="preserve"> </w:t>
      </w:r>
      <w:r>
        <w:t xml:space="preserve">(OR = 8.26, 95% CI: 3.5 - 19.4, q = 7.40e-5), and</w:t>
      </w:r>
      <w:r>
        <w:t xml:space="preserve"> </w:t>
      </w:r>
      <w:r>
        <w:rPr>
          <w:iCs/>
          <w:i/>
        </w:rPr>
        <w:t xml:space="preserve">EGFR</w:t>
      </w:r>
      <w:r>
        <w:t xml:space="preserve"> </w:t>
      </w:r>
      <w:r>
        <w:t xml:space="preserve">(OR = 17.5, 95% CI: 4.8 - 63.9, q = 2e-4), with all of these driven by HGGs and consistent with previous reports</w:t>
      </w:r>
      <w:r>
        <w:t xml:space="preserve"> </w:t>
      </w:r>
      <w:r>
        <w:t xml:space="preserve">[@doi:10.1016/j.ccell.2017.08.017; @doi:10.1093/neuonc/noaa251; @doi:10.1038/ng.2938]</w:t>
      </w:r>
      <w:r>
        <w:t xml:space="preserve">.</w:t>
      </w:r>
    </w:p>
    <w:p>
      <w:pPr>
        <w:pStyle w:val="BodyText"/>
      </w:pPr>
      <w:r>
        <w:t xml:space="preserve">In embryonal tumors,</w:t>
      </w:r>
      <w:r>
        <w:t xml:space="preserve"> </w:t>
      </w:r>
      <w:r>
        <w:rPr>
          <w:iCs/>
          <w:i/>
        </w:rPr>
        <w:t xml:space="preserve">CTNNB1</w:t>
      </w:r>
      <w:r>
        <w:t xml:space="preserve"> </w:t>
      </w:r>
      <w:r>
        <w:t xml:space="preserve">mutations significantly co-occurred with</w:t>
      </w:r>
      <w:r>
        <w:t xml:space="preserve"> </w:t>
      </w:r>
      <w:r>
        <w:rPr>
          <w:iCs/>
          <w:i/>
        </w:rPr>
        <w:t xml:space="preserve">TP53</w:t>
      </w:r>
      <w:r>
        <w:t xml:space="preserve"> </w:t>
      </w:r>
      <w:r>
        <w:t xml:space="preserve">mutations (OR = 43.6 95% CI: 7.1 - 265.8, q = 1.52e-3) as well as with</w:t>
      </w:r>
      <w:r>
        <w:t xml:space="preserve"> </w:t>
      </w:r>
      <w:r>
        <w:rPr>
          <w:iCs/>
          <w:i/>
        </w:rPr>
        <w:t xml:space="preserve">DDX3X</w:t>
      </w:r>
      <w:r>
        <w:t xml:space="preserve"> </w:t>
      </w:r>
      <w:r>
        <w:t xml:space="preserve">mutations (OR = 21.4, 95% CI: 4.7 - 97.9, q = 4.15e-3), events driven by medulloblastomas as previously reported</w:t>
      </w:r>
      <w:r>
        <w:t xml:space="preserve"> </w:t>
      </w:r>
      <w:r>
        <w:t xml:space="preserve">[@doi:10.1038/nrc3410; @doi:10.1200/JCO.2010.31.1670]</w:t>
      </w:r>
      <w:r>
        <w:t xml:space="preserve">.</w:t>
      </w:r>
      <w:r>
        <w:t xml:space="preserve"> </w:t>
      </w:r>
      <w:r>
        <w:rPr>
          <w:iCs/>
          <w:i/>
        </w:rPr>
        <w:t xml:space="preserve">FGFR1</w:t>
      </w:r>
      <w:r>
        <w:t xml:space="preserve"> </w:t>
      </w:r>
      <w:r>
        <w:t xml:space="preserve">and</w:t>
      </w:r>
      <w:r>
        <w:t xml:space="preserve"> </w:t>
      </w:r>
      <w:r>
        <w:rPr>
          <w:iCs/>
          <w:i/>
        </w:rPr>
        <w:t xml:space="preserve">PIK3CA</w:t>
      </w:r>
      <w:r>
        <w:t xml:space="preserve"> </w:t>
      </w:r>
      <w:r>
        <w:t xml:space="preserve">mutations significantly co-occurred in LGGs (OR = 77.25, 95% CI: 10.0 - 596.8, q = 3.12e-3), consistent with previous findings</w:t>
      </w:r>
      <w:r>
        <w:t xml:space="preserve"> </w:t>
      </w:r>
      <w:r>
        <w:t xml:space="preserve">[@doi:10.1200/JCO.2010.31.1670; @doi:10.1186/s40478-020-01027-z]</w:t>
      </w:r>
      <w:r>
        <w:t xml:space="preserve">.</w:t>
      </w:r>
      <w:r>
        <w:t xml:space="preserve"> </w:t>
      </w:r>
      <w:r>
        <w:t xml:space="preserve">Of HGG tumors with</w:t>
      </w:r>
      <w:r>
        <w:t xml:space="preserve"> </w:t>
      </w:r>
      <w:r>
        <w:rPr>
          <w:iCs/>
          <w:i/>
        </w:rPr>
        <w:t xml:space="preserve">TP53</w:t>
      </w:r>
      <w:r>
        <w:t xml:space="preserve"> </w:t>
      </w:r>
      <w:r>
        <w:t xml:space="preserve">or</w:t>
      </w:r>
      <w:r>
        <w:t xml:space="preserve"> </w:t>
      </w:r>
      <w:r>
        <w:rPr>
          <w:iCs/>
          <w:i/>
        </w:rPr>
        <w:t xml:space="preserve">PPM1D</w:t>
      </w:r>
      <w:r>
        <w:t xml:space="preserve"> </w:t>
      </w:r>
      <w:r>
        <w:t xml:space="preserve">mutations, 53/55 (96.3%) had mutations in only one of these genes (OR = 0.17, 95% CI: 0.04 - 0.89, q = 0.056), recapitulating previous observations that these mutations are usually mutually exclusive in HGGs</w:t>
      </w:r>
      <w:r>
        <w:t xml:space="preserve"> </w:t>
      </w:r>
      <w:r>
        <w:t xml:space="preserve">[@https://doi.org/10.1038/ng.2938]</w:t>
      </w:r>
      <w:r>
        <w:t xml:space="preserve">.</w:t>
      </w:r>
    </w:p>
    <w:p>
      <w:pPr>
        <w:pStyle w:val="BodyText"/>
      </w:pPr>
      <w:r>
        <w:t xml:space="preserve">CNV and SV analyses revealed that HGG, DMG, and medulloblastoma tumors has the most unstable genomes, while craniopharyngiomas and schwannomas generally lacked somatic CNV (</w:t>
      </w:r>
      <w:r>
        <w:rPr>
          <w:bCs/>
          <w:b/>
        </w:rPr>
        <w:t xml:space="preserve">Figure {</w:t>
      </w:r>
      <w:r>
        <w:rPr>
          <w:bCs/>
          <w:b/>
        </w:rPr>
        <w:t xml:space="preserve">@fig:S3</w:t>
      </w:r>
      <w:r>
        <w:rPr>
          <w:bCs/>
          <w:b/>
        </w:rPr>
        <w:t xml:space="preserve">}C</w:t>
      </w:r>
      <w:r>
        <w:t xml:space="preserve">).</w:t>
      </w:r>
      <w:r>
        <w:t xml:space="preserve"> </w:t>
      </w:r>
      <w:r>
        <w:t xml:space="preserve">These CNV patterns largely aligned with our TMB estimates (</w:t>
      </w:r>
      <w:r>
        <w:rPr>
          <w:bCs/>
          <w:b/>
        </w:rPr>
        <w:t xml:space="preserve">Figure {</w:t>
      </w:r>
      <w:r>
        <w:rPr>
          <w:bCs/>
          <w:b/>
        </w:rPr>
        <w:t xml:space="preserve">@fig:S2</w:t>
      </w:r>
      <w:r>
        <w:rPr>
          <w:bCs/>
          <w:b/>
        </w:rPr>
        <w:t xml:space="preserve">}H</w:t>
      </w:r>
      <w:r>
        <w:t xml:space="preserve">).</w:t>
      </w:r>
      <w:r>
        <w:t xml:space="preserve"> </w:t>
      </w:r>
      <w:r>
        <w:t xml:space="preserve">SV and CNV breakpoint densities were significantly correlated (linear regression p = 1.05e-38;</w:t>
      </w:r>
      <w:r>
        <w:t xml:space="preserve"> </w:t>
      </w:r>
      <w:r>
        <w:rPr>
          <w:bCs/>
          <w:b/>
        </w:rPr>
        <w:t xml:space="preserve">Figure {</w:t>
      </w:r>
      <w:r>
        <w:rPr>
          <w:bCs/>
          <w:b/>
        </w:rPr>
        <w:t xml:space="preserve">@fig:Fig3</w:t>
      </w:r>
      <w:r>
        <w:rPr>
          <w:bCs/>
          <w:b/>
        </w:rPr>
        <w:t xml:space="preserve">}C</w:t>
      </w:r>
      <w:r>
        <w:t xml:space="preserve">), and as expected, the number of chromothripsis regions called increased with breakpoint density (</w:t>
      </w:r>
      <w:r>
        <w:rPr>
          <w:bCs/>
          <w:b/>
        </w:rPr>
        <w:t xml:space="preserve">Figure {</w:t>
      </w:r>
      <w:r>
        <w:rPr>
          <w:bCs/>
          <w:b/>
        </w:rPr>
        <w:t xml:space="preserve">@fig:S3</w:t>
      </w:r>
      <w:r>
        <w:rPr>
          <w:bCs/>
          <w:b/>
        </w:rPr>
        <w:t xml:space="preserve">}D-E</w:t>
      </w:r>
      <w:r>
        <w:t xml:space="preserve">).</w:t>
      </w:r>
      <w:r>
        <w:t xml:space="preserve"> </w:t>
      </w:r>
      <w:r>
        <w:t xml:space="preserve">We identified chromothripsis events in 31% (N = 12/39) of DMGs and in 44% (N = 21/48) of other HGGs (</w:t>
      </w:r>
      <w:r>
        <w:rPr>
          <w:bCs/>
          <w:b/>
        </w:rPr>
        <w:t xml:space="preserve">Figure {</w:t>
      </w:r>
      <w:r>
        <w:rPr>
          <w:bCs/>
          <w:b/>
        </w:rPr>
        <w:t xml:space="preserve">@fig:Fig3</w:t>
      </w:r>
      <w:r>
        <w:rPr>
          <w:bCs/>
          <w:b/>
        </w:rPr>
        <w:t xml:space="preserve">}D</w:t>
      </w:r>
      <w:r>
        <w:t xml:space="preserve">), and we found evidence of chromothripsis in over 15% of sarcomas, PXAs, metastatic secondary tumors, chordomas, glial-neuronal tumors, germinomas, meningiomas, ependymomas, medulloblastomas, ATRTs, and other embryonal tumors.</w:t>
      </w:r>
    </w:p>
    <w:p>
      <w:pPr>
        <w:pStyle w:val="BodyText"/>
      </w:pPr>
      <w:r>
        <w:t xml:space="preserve">We assessed the contributions of eight adult CNS-specific mutational signatures from the RefSig database</w:t>
      </w:r>
      <w:r>
        <w:t xml:space="preserve"> </w:t>
      </w:r>
      <w:r>
        <w:t xml:space="preserve">[@doi:10.1038/s43018-020-0027-5]</w:t>
      </w:r>
      <w:r>
        <w:t xml:space="preserve"> </w:t>
      </w:r>
      <w:r>
        <w:t xml:space="preserve">across tumors (</w:t>
      </w:r>
      <w:r>
        <w:rPr>
          <w:bCs/>
          <w:b/>
        </w:rPr>
        <w:t xml:space="preserve">Figure {</w:t>
      </w:r>
      <w:r>
        <w:rPr>
          <w:bCs/>
          <w:b/>
        </w:rPr>
        <w:t xml:space="preserve">@fig:Fig3</w:t>
      </w:r>
      <w:r>
        <w:rPr>
          <w:bCs/>
          <w:b/>
        </w:rPr>
        <w:t xml:space="preserve">}E</w:t>
      </w:r>
      <w:r>
        <w:t xml:space="preserve"> </w:t>
      </w:r>
      <w:r>
        <w:t xml:space="preserve">and</w:t>
      </w:r>
      <w:r>
        <w:t xml:space="preserve"> </w:t>
      </w:r>
      <w:r>
        <w:rPr>
          <w:bCs/>
          <w:b/>
        </w:rPr>
        <w:t xml:space="preserve">Figure {</w:t>
      </w:r>
      <w:r>
        <w:rPr>
          <w:bCs/>
          <w:b/>
        </w:rPr>
        <w:t xml:space="preserve">@fig:S4</w:t>
      </w:r>
      <w:r>
        <w:rPr>
          <w:bCs/>
          <w:b/>
        </w:rPr>
        <w:t xml:space="preserve">}A</w:t>
      </w:r>
      <w:r>
        <w:t xml:space="preserve">).</w:t>
      </w:r>
      <w:r>
        <w:t xml:space="preserve"> </w:t>
      </w:r>
      <w:r>
        <w:t xml:space="preserve">Signature 1, which reflects normal spontaneous deamination of 5-methylcytosine, predominated in stage 0 and/or 1 tumors characterized by low TMBs (</w:t>
      </w:r>
      <w:r>
        <w:rPr>
          <w:bCs/>
          <w:b/>
        </w:rPr>
        <w:t xml:space="preserve">Figure {</w:t>
      </w:r>
      <w:r>
        <w:rPr>
          <w:bCs/>
          <w:b/>
        </w:rPr>
        <w:t xml:space="preserve">@fig:S2</w:t>
      </w:r>
      <w:r>
        <w:rPr>
          <w:bCs/>
          <w:b/>
        </w:rPr>
        <w:t xml:space="preserve">}H</w:t>
      </w:r>
      <w:r>
        <w:t xml:space="preserve">) such as pilocytic astrocytomas, gangliogliomas, other LGGs, and craniopharyngiomas (</w:t>
      </w:r>
      <w:r>
        <w:rPr>
          <w:bCs/>
          <w:b/>
        </w:rPr>
        <w:t xml:space="preserve">Figure {</w:t>
      </w:r>
      <w:r>
        <w:rPr>
          <w:bCs/>
          <w:b/>
        </w:rPr>
        <w:t xml:space="preserve">@fig:S4</w:t>
      </w:r>
      <w:r>
        <w:rPr>
          <w:bCs/>
          <w:b/>
        </w:rPr>
        <w:t xml:space="preserve">}A</w:t>
      </w:r>
      <w:r>
        <w:t xml:space="preserve">).</w:t>
      </w:r>
      <w:r>
        <w:t xml:space="preserve"> </w:t>
      </w:r>
      <w:r>
        <w:t xml:space="preserve">Signature 1 weights were generally higher in tumors sampled at diagnosis (pre-treatment) compared to tumors from later phases of therapy (</w:t>
      </w:r>
      <w:r>
        <w:rPr>
          <w:bCs/>
          <w:b/>
        </w:rPr>
        <w:t xml:space="preserve">Figure {</w:t>
      </w:r>
      <w:r>
        <w:rPr>
          <w:bCs/>
          <w:b/>
        </w:rPr>
        <w:t xml:space="preserve">@fig:S4</w:t>
      </w:r>
      <w:r>
        <w:rPr>
          <w:bCs/>
          <w:b/>
        </w:rPr>
        <w:t xml:space="preserve">}B</w:t>
      </w:r>
      <w:r>
        <w:t xml:space="preserve">).</w:t>
      </w:r>
      <w:r>
        <w:t xml:space="preserve"> </w:t>
      </w:r>
      <w:r>
        <w:t xml:space="preserve">This trend may have emerged from therapy-induced mutations that produced additional signatures (e.g., temozolomide treatment has been suggested to drive Signature 11</w:t>
      </w:r>
      <w:r>
        <w:t xml:space="preserve"> </w:t>
      </w:r>
      <w:r>
        <w:t xml:space="preserve">[@doi:10.1053/j.gastro.2014.07.052]</w:t>
      </w:r>
      <w:r>
        <w:t xml:space="preserve">), subclonal expansion, and/or acquisition of additional driver mutations during tumor progression, leading to detection of additional signatures.</w:t>
      </w:r>
      <w:r>
        <w:t xml:space="preserve"> </w:t>
      </w:r>
      <w:r>
        <w:t xml:space="preserve">We observed the CNS-specific signature N6 in nearly all tumors.</w:t>
      </w:r>
      <w:r>
        <w:t xml:space="preserve"> </w:t>
      </w:r>
      <w:r>
        <w:t xml:space="preserve">Signature 18 drivers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found at https://signal.mutationalsignatures.com/explore/referenceCancerSignature/31/drivers) are also canonical medulloblastoma drivers, and indeed, Signature 18 had the highest signature weight in medulloblastomas.</w:t>
      </w:r>
      <w:r>
        <w:t xml:space="preserve"> </w:t>
      </w:r>
      <w:r>
        <w:t xml:space="preserve">Finally, signatures 3, 8, 18, and MMR2 were prevalent in HGGs, including DMGs.</w:t>
      </w:r>
    </w:p>
    <w:p>
      <w:pPr>
        <w:pStyle w:val="CaptionedFigure"/>
      </w:pPr>
      <w:bookmarkStart w:id="40" w:name="fig:Fig3"/>
      <w:r>
        <w:drawing>
          <wp:inline>
            <wp:extent cx="5334000" cy="6045200"/>
            <wp:effectExtent b="0" l="0" r="0" t="0"/>
            <wp:docPr descr="Mutational co-occurrence and signatures highlight key oncogenic drivers. A, Bar plot of nonsynonymous mutations for 50 most commonly-mutated genes across all histologies. “Other” denotes a histology with &lt;10 tumors. B, Co-occurrence and mutual exclusivity of mutated genes. The co-occurrence score is defined as I(-\log_{10}(P)) where P is Fisher’s exact test and I is 1 when mutations co-occur more often than expected or -1 when exclusivity is more common. C, Number of SV breaks significantly correlate with CNV breaks (Adjusted R = 0.443, p = 1.05e-38). D, Chromothripsis frequency across cancer groups with N &gt;= 3 tumors. E, Sina plots of RefSig signature weights for signatures 1, 11, 18, 19, 3, 8, N6, MMR2, and Other across cancer groups. Box plot represents 5% (lower whisker), 25% (lower box), 50% (median), 75% (upper box), and 95% (upper whisker) quantiles." title="" id="38" name="Picture"/>
            <a:graphic>
              <a:graphicData uri="http://schemas.openxmlformats.org/drawingml/2006/picture">
                <pic:pic>
                  <pic:nvPicPr>
                    <pic:cNvPr descr="https://raw.githubusercontent.com/AlexsLemonade/OpenPBTA-analysis/37ec62fdc2fd9ff157f2f2c10b69e9bb36673363/figures/pngs/figure3.png?sanitize=true" id="39" name="Picture"/>
                    <pic:cNvPicPr>
                      <a:picLocks noChangeArrowheads="1" noChangeAspect="1"/>
                    </pic:cNvPicPr>
                  </pic:nvPicPr>
                  <pic:blipFill>
                    <a:blip r:embed="rId37"/>
                    <a:stretch>
                      <a:fillRect/>
                    </a:stretch>
                  </pic:blipFill>
                  <pic:spPr bwMode="auto">
                    <a:xfrm>
                      <a:off x="0" y="0"/>
                      <a:ext cx="5334000" cy="6045200"/>
                    </a:xfrm>
                    <a:prstGeom prst="rect">
                      <a:avLst/>
                    </a:prstGeom>
                    <a:noFill/>
                    <a:ln w="9525">
                      <a:noFill/>
                      <a:headEnd/>
                      <a:tailEnd/>
                    </a:ln>
                  </pic:spPr>
                </pic:pic>
              </a:graphicData>
            </a:graphic>
          </wp:inline>
        </w:drawing>
      </w:r>
      <w:bookmarkEnd w:id="40"/>
    </w:p>
    <w:p>
      <w:pPr>
        <w:pStyle w:val="ImageCaption"/>
      </w:pPr>
      <w:r>
        <w:rPr>
          <w:bCs/>
          <w:b/>
        </w:rPr>
        <w:t xml:space="preserve">Mutational co-occurrence and signatures highlight key oncogenic drivers.</w:t>
      </w:r>
      <w:r>
        <w:t xml:space="preserve"> </w:t>
      </w:r>
      <w:r>
        <w:t xml:space="preserve">A, Bar plot of nonsynonymous mutations for 50 most commonly-mutated genes across all histologies.</w:t>
      </w:r>
      <w:r>
        <w:t xml:space="preserve"> </w:t>
      </w:r>
      <w:r>
        <w:t xml:space="preserve">“</w:t>
      </w:r>
      <w:r>
        <w:t xml:space="preserve">Other</w:t>
      </w:r>
      <w:r>
        <w:t xml:space="preserve">”</w:t>
      </w:r>
      <w:r>
        <w:t xml:space="preserve"> </w:t>
      </w:r>
      <w:r>
        <w:t xml:space="preserve">denotes a histology with &lt;10 tumors. B, Co-occurrence and mutual exclusivity of mutated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Fisher’s exact test and</w:t>
      </w:r>
      <w:r>
        <w:t xml:space="preserve"> </w:t>
      </w:r>
      <m:oMath>
        <m:r>
          <m:t>I</m:t>
        </m:r>
      </m:oMath>
      <w:r>
        <w:t xml:space="preserve"> </w:t>
      </w:r>
      <w:r>
        <w:t xml:space="preserve">is 1 when mutations co-occur more often than expected or -1 when exclusivity is more common. C, Number of SV breaks significantly correlate with CNV breaks (Adjusted R = 0.443, p = 1.05e-38). D, Chromothripsis frequency across cancer groups with N &gt;= 3 tumors. E, Sina plots of RefSig signature weights for signatures 1, 11, 18, 19, 3, 8, N6, MMR2, and Other across cancer groups. Box plot represents 5% (lower whisker), 25% (lower box), 50% (median), 75% (upper box), and 95% (upper whisker) quantiles.</w:t>
      </w:r>
    </w:p>
    <w:bookmarkEnd w:id="41"/>
    <w:bookmarkStart w:id="53" w:name="X2df3fd443ab4db672aaac969f7e0daef39efc51"/>
    <w:p>
      <w:pPr>
        <w:pStyle w:val="Heading3"/>
      </w:pPr>
      <w:r>
        <w:t xml:space="preserve">Transcriptomic Landscape of Pediatric Brain Tumors</w:t>
      </w:r>
    </w:p>
    <w:p>
      <w:pPr>
        <w:pStyle w:val="FirstParagraph"/>
      </w:pPr>
      <w:r>
        <w:t xml:space="preserve">Most RNA-Seq samples in the PBTA were prepared with ribosomal RNA depletion followed by stranded sequencing (N = 977), while remaining samples were prepared with poly-A selection (N = 58).</w:t>
      </w:r>
      <w:r>
        <w:t xml:space="preserve"> </w:t>
      </w:r>
      <w:r>
        <w:t xml:space="preserve">Since batch correction was not feasible (see</w:t>
      </w:r>
      <w:r>
        <w:t xml:space="preserve"> </w:t>
      </w:r>
      <w:r>
        <w:rPr>
          <w:bCs/>
          <w:b/>
        </w:rPr>
        <w:t xml:space="preserve">Limitations of the Study</w:t>
      </w:r>
      <w:r>
        <w:t xml:space="preserve"> </w:t>
      </w:r>
      <w:r>
        <w:t xml:space="preserve">and</w:t>
      </w:r>
      <w:r>
        <w:t xml:space="preserve"> </w:t>
      </w:r>
      <w:r>
        <w:rPr>
          <w:bCs/>
          <w:b/>
        </w:rPr>
        <w:t xml:space="preserve">Figure {</w:t>
      </w:r>
      <w:r>
        <w:rPr>
          <w:bCs/>
          <w:b/>
        </w:rPr>
        <w:t xml:space="preserve">@fig:S7</w:t>
      </w:r>
      <w:r>
        <w:rPr>
          <w:bCs/>
          <w:b/>
        </w:rPr>
        <w:t xml:space="preserve">}A</w:t>
      </w:r>
      <w:r>
        <w:t xml:space="preserve">), the following transcriptomic analyses considered only stranded samples.</w:t>
      </w:r>
    </w:p>
    <w:bookmarkStart w:id="42"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We applied TCGA-trained classifier</w:t>
      </w:r>
      <w:r>
        <w:t xml:space="preserve"> </w:t>
      </w:r>
      <w:r>
        <w:t xml:space="preserve">[@doi:10.1016/j.celrep.2018.03.076]</w:t>
      </w:r>
      <w:r>
        <w:t xml:space="preserve"> </w:t>
      </w:r>
      <w:r>
        <w:t xml:space="preserve">to calculate a</w:t>
      </w:r>
      <w:r>
        <w:t xml:space="preserve"> </w:t>
      </w:r>
      <w:r>
        <w:rPr>
          <w:iCs/>
          <w:i/>
        </w:rPr>
        <w:t xml:space="preserve">TP53</w:t>
      </w:r>
      <w:r>
        <w:t xml:space="preserve"> </w:t>
      </w:r>
      <w:r>
        <w:t xml:space="preserve">score, a proxy for</w:t>
      </w:r>
      <w:r>
        <w:t xml:space="preserve"> </w:t>
      </w:r>
      <w:r>
        <w:rPr>
          <w:iCs/>
          <w:i/>
        </w:rPr>
        <w:t xml:space="preserve">TP53</w:t>
      </w:r>
      <w:r>
        <w:t xml:space="preserve"> </w:t>
      </w:r>
      <w:r>
        <w:t xml:space="preserve">gene or pathway dysregulation, and subsequently infer tumor</w:t>
      </w:r>
      <w:r>
        <w:t xml:space="preserve"> </w:t>
      </w:r>
      <w:r>
        <w:rPr>
          <w:iCs/>
          <w:i/>
        </w:rPr>
        <w:t xml:space="preserve">TP53</w:t>
      </w:r>
      <w:r>
        <w:t xml:space="preserve"> </w:t>
      </w:r>
      <w:r>
        <w:t xml:space="preserve">inactivation status.</w:t>
      </w:r>
      <w:r>
        <w:t xml:space="preserve"> </w:t>
      </w:r>
      <w:r>
        <w:t xml:space="preserve">We identified</w:t>
      </w:r>
      <w:r>
        <w:t xml:space="preserve"> </w:t>
      </w:r>
      <w:r>
        <w:t xml:space="preserve">“</w:t>
      </w:r>
      <w:r>
        <w:t xml:space="preserve">true positive</w:t>
      </w:r>
      <w:r>
        <w:t xml:space="preserve">”</w:t>
      </w:r>
      <w:r>
        <w:t xml:space="preserve"> </w:t>
      </w:r>
      <w:r>
        <w:rPr>
          <w:iCs/>
          <w:i/>
        </w:rPr>
        <w:t xml:space="preserve">TP53</w:t>
      </w:r>
      <w:r>
        <w:t xml:space="preserve"> </w:t>
      </w:r>
      <w:r>
        <w:t xml:space="preserve">alterations from high-confidence SNVs, CNVs, SVs, and fusions in</w:t>
      </w:r>
      <w:r>
        <w:t xml:space="preserve"> </w:t>
      </w:r>
      <w:r>
        <w:rPr>
          <w:iCs/>
          <w:i/>
        </w:rPr>
        <w:t xml:space="preserve">TP53</w:t>
      </w:r>
      <w:r>
        <w:t xml:space="preserve">, annotating tumors as</w:t>
      </w:r>
      <w:r>
        <w:t xml:space="preserve"> </w:t>
      </w:r>
      <w:r>
        <w:t xml:space="preserve">“</w:t>
      </w:r>
      <w:r>
        <w:t xml:space="preserve">activated</w:t>
      </w:r>
      <w:r>
        <w:t xml:space="preserve">”</w:t>
      </w:r>
      <w:r>
        <w:t xml:space="preserve"> </w:t>
      </w:r>
      <w:r>
        <w:t xml:space="preserve">if they harbored one of p.R273C or p.R248W gain-of-function mutations</w:t>
      </w:r>
      <w:r>
        <w:t xml:space="preserve"> </w:t>
      </w:r>
      <w:r>
        <w:t xml:space="preserve">[@doi:10.1038/ng0593-42]</w:t>
      </w:r>
      <w:r>
        <w:t xml:space="preserve">, or</w:t>
      </w:r>
      <w:r>
        <w:t xml:space="preserve"> </w:t>
      </w:r>
      <w:r>
        <w:t xml:space="preserve">“</w:t>
      </w:r>
      <w:r>
        <w:t xml:space="preserve">lost</w:t>
      </w:r>
      <w:r>
        <w:t xml:space="preserve">”</w:t>
      </w:r>
      <w:r>
        <w:t xml:space="preserve"> </w:t>
      </w:r>
      <w:r>
        <w:t xml:space="preserve">if 1) the given patient had a Li Fraumeni Syndrome (LFS) predisposition diagnosis, 2) the tumor harbored a known hotspot mutation, or 3) the tumor contained two hits (e.g. both SNV and CNV), suggesting both alleles were affected.</w:t>
      </w:r>
      <w:r>
        <w:t xml:space="preserve"> </w:t>
      </w:r>
      <w:r>
        <w:t xml:space="preserve">If the</w:t>
      </w:r>
      <w:r>
        <w:t xml:space="preserve"> </w:t>
      </w:r>
      <w:r>
        <w:rPr>
          <w:iCs/>
          <w:i/>
        </w:rPr>
        <w:t xml:space="preserve">TP53</w:t>
      </w:r>
      <w:r>
        <w:t xml:space="preserve"> </w:t>
      </w:r>
      <w:r>
        <w:t xml:space="preserve">mutation did not reside within the DNA-binding domain or no alterations in</w:t>
      </w:r>
      <w:r>
        <w:t xml:space="preserve"> </w:t>
      </w:r>
      <w:r>
        <w:rPr>
          <w:iCs/>
          <w:i/>
        </w:rPr>
        <w:t xml:space="preserve">TP53</w:t>
      </w:r>
      <w:r>
        <w:t xml:space="preserve"> </w:t>
      </w:r>
      <w:r>
        <w:t xml:space="preserve">were detected, we annotated the tumor as</w:t>
      </w:r>
      <w:r>
        <w:t xml:space="preserve"> </w:t>
      </w:r>
      <w:r>
        <w:t xml:space="preserve">“</w:t>
      </w:r>
      <w:r>
        <w:t xml:space="preserve">other,</w:t>
      </w:r>
      <w:r>
        <w:t xml:space="preserve">”</w:t>
      </w:r>
      <w:r>
        <w:t xml:space="preserve"> </w:t>
      </w:r>
      <w:r>
        <w:t xml:space="preserve">indicating an unknown</w:t>
      </w:r>
      <w:r>
        <w:t xml:space="preserve"> </w:t>
      </w:r>
      <w:r>
        <w:rPr>
          <w:iCs/>
          <w:i/>
        </w:rPr>
        <w:t xml:space="preserve">TP53</w:t>
      </w:r>
      <w:r>
        <w:t xml:space="preserve"> </w:t>
      </w:r>
      <w:r>
        <w:t xml:space="preserve">alteration status.</w:t>
      </w:r>
      <w:r>
        <w:t xml:space="preserve"> </w:t>
      </w:r>
      <w:r>
        <w:t xml:space="preserve">The classifier achieved a high accuracy (AUROC = 0.86) for rRNA-depleted, stranded tumors, but it did not perform as well on the poly-A tumors in this cohort (AUROC = 0.62;</w:t>
      </w:r>
      <w:r>
        <w:t xml:space="preserve"> </w:t>
      </w:r>
      <w:r>
        <w:rPr>
          <w:bCs/>
          <w:b/>
        </w:rPr>
        <w:t xml:space="preserve">Figure {</w:t>
      </w:r>
      <w:r>
        <w:rPr>
          <w:bCs/>
          <w:b/>
        </w:rPr>
        <w:t xml:space="preserve">@fig:S5</w:t>
      </w:r>
      <w:r>
        <w:rPr>
          <w:bCs/>
          <w:b/>
        </w:rPr>
        <w:t xml:space="preserve">}A</w:t>
      </w:r>
      <w:r>
        <w:t xml:space="preserve">).</w:t>
      </w:r>
    </w:p>
    <w:p>
      <w:pPr>
        <w:pStyle w:val="BodyText"/>
      </w:pPr>
      <w:r>
        <w:t xml:space="preserve">We observed that</w:t>
      </w:r>
      <w:r>
        <w:t xml:space="preserve"> </w:t>
      </w:r>
      <w:r>
        <w:t xml:space="preserve">“</w:t>
      </w:r>
      <w:r>
        <w:t xml:space="preserve">activated</w:t>
      </w:r>
      <w:r>
        <w:t xml:space="preserve">”</w:t>
      </w:r>
      <w:r>
        <w:t xml:space="preserve"> </w:t>
      </w:r>
      <w:r>
        <w:t xml:space="preserve">and</w:t>
      </w:r>
      <w:r>
        <w:t xml:space="preserve"> </w:t>
      </w:r>
      <w:r>
        <w:t xml:space="preserve">“</w:t>
      </w:r>
      <w:r>
        <w:t xml:space="preserve">lost</w:t>
      </w:r>
      <w:r>
        <w:t xml:space="preserve">”</w:t>
      </w:r>
      <w:r>
        <w:t xml:space="preserve"> </w:t>
      </w:r>
      <w:r>
        <w:t xml:space="preserve">tumors had similar</w:t>
      </w:r>
      <w:r>
        <w:t xml:space="preserve"> </w:t>
      </w:r>
      <w:r>
        <w:rPr>
          <w:iCs/>
          <w:i/>
        </w:rPr>
        <w:t xml:space="preserve">TP53</w:t>
      </w:r>
      <w:r>
        <w:t xml:space="preserve"> </w:t>
      </w:r>
      <w:r>
        <w:t xml:space="preserve">scores (</w:t>
      </w:r>
      <w:r>
        <w:rPr>
          <w:bCs/>
          <w:b/>
        </w:rPr>
        <w:t xml:space="preserve">Figure {</w:t>
      </w:r>
      <w:r>
        <w:rPr>
          <w:bCs/>
          <w:b/>
        </w:rPr>
        <w:t xml:space="preserve">@fig:Fig4</w:t>
      </w:r>
      <w:r>
        <w:rPr>
          <w:bCs/>
          <w:b/>
        </w:rPr>
        <w:t xml:space="preserve">}B</w:t>
      </w:r>
      <w:r>
        <w:t xml:space="preserve">, Wilcoxon p = 0.92), contrasting our expectation that</w:t>
      </w:r>
      <w:r>
        <w:t xml:space="preserve"> </w:t>
      </w:r>
      <w:r>
        <w:t xml:space="preserve">“</w:t>
      </w:r>
      <w:r>
        <w:t xml:space="preserve">activated</w:t>
      </w:r>
      <w:r>
        <w:t xml:space="preserve">”</w:t>
      </w:r>
      <w:r>
        <w:t xml:space="preserve"> </w:t>
      </w:r>
      <w:r>
        <w:t xml:space="preserve">tumors would have higher</w:t>
      </w:r>
      <w:r>
        <w:t xml:space="preserve"> </w:t>
      </w:r>
      <w:r>
        <w:rPr>
          <w:iCs/>
          <w:i/>
        </w:rPr>
        <w:t xml:space="preserve">TP53</w:t>
      </w:r>
      <w:r>
        <w:t xml:space="preserve"> </w:t>
      </w:r>
      <w:r>
        <w:t xml:space="preserve">scores.</w:t>
      </w:r>
      <w:r>
        <w:t xml:space="preserve"> </w:t>
      </w:r>
      <w:r>
        <w:t xml:space="preserve">This difference suggests that classifier scores &gt; 0.5 may actually represent an oncogenic, or altered,</w:t>
      </w:r>
      <w:r>
        <w:t xml:space="preserve"> </w:t>
      </w:r>
      <w:r>
        <w:rPr>
          <w:iCs/>
          <w:i/>
        </w:rPr>
        <w:t xml:space="preserve">TP53</w:t>
      </w:r>
      <w:r>
        <w:t xml:space="preserve"> </w:t>
      </w:r>
      <w:r>
        <w:t xml:space="preserve">phenotype rather than solely</w:t>
      </w:r>
      <w:r>
        <w:t xml:space="preserve"> </w:t>
      </w:r>
      <w:r>
        <w:rPr>
          <w:iCs/>
          <w:i/>
        </w:rPr>
        <w:t xml:space="preserve">TP53</w:t>
      </w:r>
      <w:r>
        <w:t xml:space="preserve"> </w:t>
      </w:r>
      <w:r>
        <w:t xml:space="preserve">inactivation, as interpreted previously</w:t>
      </w:r>
      <w:r>
        <w:t xml:space="preserve"> </w:t>
      </w:r>
      <w:r>
        <w:t xml:space="preserve">[@doi:10.1016/j.celrep.2018.03.076]</w:t>
      </w:r>
      <w:r>
        <w:t xml:space="preserve">.</w:t>
      </w:r>
      <w:r>
        <w:t xml:space="preserve"> </w:t>
      </w:r>
      <w:r>
        <w:t xml:space="preserve">However,</w:t>
      </w:r>
      <w:r>
        <w:t xml:space="preserve"> </w:t>
      </w:r>
      <w:r>
        <w:t xml:space="preserve">“</w:t>
      </w:r>
      <w:r>
        <w:t xml:space="preserve">activated</w:t>
      </w:r>
      <w:r>
        <w:t xml:space="preserve">”</w:t>
      </w:r>
      <w:r>
        <w:t xml:space="preserve"> </w:t>
      </w:r>
      <w:r>
        <w:t xml:space="preserve">tumors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0.006,</w:t>
      </w:r>
      <w:r>
        <w:t xml:space="preserve"> </w:t>
      </w:r>
      <w:r>
        <w:rPr>
          <w:bCs/>
          <w:b/>
        </w:rPr>
        <w:t xml:space="preserve">Figure {</w:t>
      </w:r>
      <w:r>
        <w:rPr>
          <w:bCs/>
          <w:b/>
        </w:rPr>
        <w:t xml:space="preserve">@fig:Fig4</w:t>
      </w:r>
      <w:r>
        <w:rPr>
          <w:bCs/>
          <w:b/>
        </w:rPr>
        <w:t xml:space="preserve">}C</w:t>
      </w:r>
      <w:r>
        <w:t xml:space="preserve">).</w:t>
      </w:r>
      <w:r>
        <w:t xml:space="preserve"> </w:t>
      </w:r>
      <w:r>
        <w:t xml:space="preserve">DMGs, medulloblastomas, HGGs, DNETs, ependymomas, and craniopharyngiomas, all known to harbor</w:t>
      </w:r>
      <w:r>
        <w:t xml:space="preserve"> </w:t>
      </w:r>
      <w:r>
        <w:rPr>
          <w:iCs/>
          <w:i/>
        </w:rPr>
        <w:t xml:space="preserve">TP53</w:t>
      </w:r>
      <w:r>
        <w:t xml:space="preserve"> </w:t>
      </w:r>
      <w:r>
        <w:t xml:space="preserve">mutations, had the highest median</w:t>
      </w:r>
      <w:r>
        <w:t xml:space="preserve"> </w:t>
      </w:r>
      <w:r>
        <w:rPr>
          <w:iCs/>
          <w:i/>
        </w:rPr>
        <w:t xml:space="preserve">TP53</w:t>
      </w:r>
      <w:r>
        <w:t xml:space="preserve"> </w:t>
      </w:r>
      <w:r>
        <w:t xml:space="preserve">scores (</w:t>
      </w:r>
      <w:r>
        <w:rPr>
          <w:bCs/>
          <w:b/>
        </w:rPr>
        <w:t xml:space="preserve">Figure {</w:t>
      </w:r>
      <w:r>
        <w:rPr>
          <w:bCs/>
          <w:b/>
        </w:rPr>
        <w:t xml:space="preserve">@fig:Fig4</w:t>
      </w:r>
      <w:r>
        <w:rPr>
          <w:bCs/>
          <w:b/>
        </w:rPr>
        <w:t xml:space="preserve">}D</w:t>
      </w:r>
      <w:r>
        <w:t xml:space="preserve">).</w:t>
      </w:r>
      <w:r>
        <w:t xml:space="preserve"> </w:t>
      </w:r>
      <w:r>
        <w:t xml:space="preserve">By contrast, gangliogliomas, LGGs, meningiomas, and schwannomas had the lowest median scores.</w:t>
      </w:r>
    </w:p>
    <w:p>
      <w:pPr>
        <w:pStyle w:val="BodyText"/>
      </w:pPr>
      <w:r>
        <w:t xml:space="preserve">We hypothesized that tumors from patients with LFS (N = 8) would have higher</w:t>
      </w:r>
      <w:r>
        <w:t xml:space="preserve"> </w:t>
      </w:r>
      <w:r>
        <w:rPr>
          <w:iCs/>
          <w:i/>
        </w:rPr>
        <w:t xml:space="preserve">TP53</w:t>
      </w:r>
      <w:r>
        <w:t xml:space="preserve"> </w:t>
      </w:r>
      <w:r>
        <w:t xml:space="preserve">scores, which we indeed observed for 8/10 tumors from LFS patients (</w:t>
      </w:r>
      <w:r>
        <w:rPr>
          <w:bCs/>
          <w:b/>
        </w:rPr>
        <w:t xml:space="preserve">Table S3</w:t>
      </w:r>
      <w:r>
        <w:t xml:space="preserve">).</w:t>
      </w:r>
      <w:r>
        <w:t xml:space="preserve"> </w:t>
      </w:r>
      <w:r>
        <w:t xml:space="preserve">Although two tumors from LFS patients had low</w:t>
      </w:r>
      <w:r>
        <w:t xml:space="preserve"> </w:t>
      </w:r>
      <w:r>
        <w:rPr>
          <w:iCs/>
          <w:i/>
        </w:rPr>
        <w:t xml:space="preserve">TP53</w:t>
      </w:r>
      <w:r>
        <w:t xml:space="preserve"> </w:t>
      </w:r>
      <w:r>
        <w:t xml:space="preserve">scores (</w:t>
      </w:r>
      <w:r>
        <w:rPr>
          <w:rStyle w:val="VerbatimChar"/>
        </w:rPr>
        <w:t xml:space="preserve">BS_DEHJF4C7</w:t>
      </w:r>
      <w:r>
        <w:t xml:space="preserve"> </w:t>
      </w:r>
      <w:r>
        <w:t xml:space="preserve">at 0.09 and</w:t>
      </w:r>
      <w:r>
        <w:t xml:space="preserve"> </w:t>
      </w:r>
      <w:r>
        <w:rPr>
          <w:rStyle w:val="VerbatimChar"/>
        </w:rPr>
        <w:t xml:space="preserve">BS_ZD5HN296</w:t>
      </w:r>
      <w:r>
        <w:t xml:space="preserve"> </w:t>
      </w:r>
      <w:r>
        <w:t xml:space="preserve">at 0.28), pathology reports confirmed that both patients were diagnosed with LFS with a</w:t>
      </w:r>
      <w:r>
        <w:t xml:space="preserve"> </w:t>
      </w:r>
      <w:r>
        <w:rPr>
          <w:iCs/>
          <w:i/>
        </w:rPr>
        <w:t xml:space="preserve">TP53</w:t>
      </w:r>
      <w:r>
        <w:t xml:space="preserve"> </w:t>
      </w:r>
      <w:r>
        <w:t xml:space="preserve">pathogenic germline variant.</w:t>
      </w:r>
      <w:r>
        <w:t xml:space="preserve"> </w:t>
      </w:r>
      <w:r>
        <w:t xml:space="preserve">These two LFS tumors also had low tumor purity (16% and 37%, respectively), suggesting that accurate classification may require a certain level of tumor content.</w:t>
      </w:r>
      <w:r>
        <w:t xml:space="preserve"> </w:t>
      </w:r>
      <w:r>
        <w:t xml:space="preserve">We suggest that this classifier could be generally applied to infer</w:t>
      </w:r>
      <w:r>
        <w:t xml:space="preserve"> </w:t>
      </w:r>
      <w:r>
        <w:rPr>
          <w:iCs/>
          <w:i/>
        </w:rPr>
        <w:t xml:space="preserve">TP53</w:t>
      </w:r>
      <w:r>
        <w:t xml:space="preserve"> </w:t>
      </w:r>
      <w:r>
        <w:t xml:space="preserve">function in the absence of a predicted oncogenic</w:t>
      </w:r>
      <w:r>
        <w:t xml:space="preserve"> </w:t>
      </w:r>
      <w:r>
        <w:rPr>
          <w:iCs/>
          <w:i/>
        </w:rPr>
        <w:t xml:space="preserve">TP53</w:t>
      </w:r>
      <w:r>
        <w:t xml:space="preserve"> </w:t>
      </w:r>
      <w:r>
        <w:t xml:space="preserve">alteration or DNA sequencing.</w:t>
      </w:r>
    </w:p>
    <w:p>
      <w:pPr>
        <w:pStyle w:val="BodyText"/>
      </w:pPr>
      <w:r>
        <w:t xml:space="preserve">We used gene expression data to predict telomerase activity using EXpression-based Telomerase ENzymatic activity Detection (</w:t>
      </w:r>
      <w:r>
        <w:rPr>
          <w:rStyle w:val="VerbatimChar"/>
        </w:rPr>
        <w:t xml:space="preserve">EXTEND</w:t>
      </w:r>
      <w:r>
        <w:t xml:space="preserve">)</w:t>
      </w:r>
      <w:r>
        <w:t xml:space="preserve"> </w:t>
      </w:r>
      <w:r>
        <w:t xml:space="preserve">[@doi:10.1038/s41467-020-20474-9]</w:t>
      </w:r>
      <w:r>
        <w:t xml:space="preserve"> </w:t>
      </w:r>
      <w:r>
        <w:t xml:space="preserve">as a surrogate measure of malignant potential</w:t>
      </w:r>
      <w:r>
        <w:t xml:space="preserve"> </w:t>
      </w:r>
      <w:r>
        <w:t xml:space="preserve">[@doi:10.1038/s41467-020-20474-9; @doi:10.1093/carcin/bgp268]</w:t>
      </w:r>
      <w:r>
        <w:t xml:space="preserve">, where higher</w:t>
      </w:r>
      <w:r>
        <w:t xml:space="preserve"> </w:t>
      </w:r>
      <w:r>
        <w:rPr>
          <w:rStyle w:val="VerbatimChar"/>
        </w:rPr>
        <w:t xml:space="preserve">EXTEND</w:t>
      </w:r>
      <w:r>
        <w:t xml:space="preserve"> </w:t>
      </w:r>
      <w:r>
        <w:t xml:space="preserve">scores indicate higher telomerase activity.</w:t>
      </w:r>
      <w:r>
        <w:t xml:space="preserve"> </w:t>
      </w:r>
      <w:r>
        <w:t xml:space="preserve">Aggressive tumors such as DMGs, other HGGs, and MB had high</w:t>
      </w:r>
      <w:r>
        <w:t xml:space="preserve"> </w:t>
      </w:r>
      <w:r>
        <w:rPr>
          <w:rStyle w:val="VerbatimChar"/>
        </w:rPr>
        <w:t xml:space="preserve">EXTEND</w:t>
      </w:r>
      <w:r>
        <w:t xml:space="preserve"> </w:t>
      </w:r>
      <w:r>
        <w:t xml:space="preserve">scores (</w:t>
      </w:r>
      <w:r>
        <w:rPr>
          <w:bCs/>
          <w:b/>
        </w:rPr>
        <w:t xml:space="preserve">Figure {</w:t>
      </w:r>
      <w:r>
        <w:rPr>
          <w:bCs/>
          <w:b/>
        </w:rPr>
        <w:t xml:space="preserve">@fig:Fig4</w:t>
      </w:r>
      <w:r>
        <w:rPr>
          <w:bCs/>
          <w:b/>
        </w:rPr>
        <w:t xml:space="preserve">}D</w:t>
      </w:r>
      <w:r>
        <w:t xml:space="preserve">), and low-grade lesions such as schwannomas, GNGs, DNETs, and other LGGs had among the lowest scores (</w:t>
      </w:r>
      <w:r>
        <w:rPr>
          <w:bCs/>
          <w:b/>
        </w:rPr>
        <w:t xml:space="preserve">Table S3</w:t>
      </w:r>
      <w:r>
        <w:t xml:space="preserve">), supporting previous reports that aggressive tumor phenotypes have higher telomerase activity</w:t>
      </w:r>
      <w:r>
        <w:t xml:space="preserve"> </w:t>
      </w:r>
      <w:r>
        <w:t xml:space="preserve">[@doi:10.1007/s13277-016-5045-7; @doi:10.1038/labinvest.3700710; @doi:10.1007/s12032-016-0736-x; @doi:10.1111/j.1750-3639.2010.00372.x]</w:t>
      </w:r>
      <w:r>
        <w:t xml:space="preserve">.</w:t>
      </w:r>
      <w:r>
        <w:t xml:space="preserve"> </w:t>
      </w:r>
      <w:r>
        <w:t xml:space="preserve">While</w:t>
      </w:r>
      <w:r>
        <w:t xml:space="preserve"> </w:t>
      </w:r>
      <w:r>
        <w:rPr>
          <w:rStyle w:val="VerbatimChar"/>
        </w:rPr>
        <w:t xml:space="preserve">EXTEND</w:t>
      </w:r>
      <w:r>
        <w:t xml:space="preserve"> </w:t>
      </w:r>
      <w:r>
        <w:t xml:space="preserve">scores were not significantly higher in tumors with</w:t>
      </w:r>
      <w:r>
        <w:t xml:space="preserve"> </w:t>
      </w:r>
      <w:r>
        <w:rPr>
          <w:iCs/>
          <w:i/>
        </w:rPr>
        <w:t xml:space="preserve">TERT</w:t>
      </w:r>
      <w:r>
        <w:t xml:space="preserve"> </w:t>
      </w:r>
      <w:r>
        <w:t xml:space="preserve">promoter (TERTp) mutations (N = 6; Wilcoxon p-value = 0.1196), scores were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log2 FPKM expression values (</w:t>
      </w:r>
      <w:r>
        <w:rPr>
          <w:bCs/>
          <w:b/>
        </w:rPr>
        <w:t xml:space="preserve">Figure {</w:t>
      </w:r>
      <w:r>
        <w:rPr>
          <w:bCs/>
          <w:b/>
        </w:rPr>
        <w:t xml:space="preserve">@fig:S5</w:t>
      </w:r>
      <w:r>
        <w:rPr>
          <w:bCs/>
          <w:b/>
        </w:rPr>
        <w:t xml:space="preserve">}B-C</w:t>
      </w:r>
      <w:r>
        <w:t xml:space="preserve">).</w:t>
      </w:r>
      <w:r>
        <w:t xml:space="preserve"> </w:t>
      </w:r>
      <w:r>
        <w:t xml:space="preserve">Since catalytically-active telomerase requires full-length</w:t>
      </w:r>
      <w:r>
        <w:t xml:space="preserve"> </w:t>
      </w:r>
      <w:r>
        <w:rPr>
          <w:iCs/>
          <w:i/>
        </w:rPr>
        <w:t xml:space="preserve">TERT</w:t>
      </w:r>
      <w:r>
        <w:t xml:space="preserve">,</w:t>
      </w:r>
      <w:r>
        <w:t xml:space="preserve"> </w:t>
      </w:r>
      <w:r>
        <w:rPr>
          <w:iCs/>
          <w:i/>
        </w:rPr>
        <w:t xml:space="preserve">TERC</w:t>
      </w:r>
      <w:r>
        <w:t xml:space="preserve">, and certain accessory proteins</w:t>
      </w:r>
      <w:r>
        <w:t xml:space="preserve"> </w:t>
      </w:r>
      <w:r>
        <w:t xml:space="preserve">[@url:https://pubmed.ncbi.nlm.nih.gov/9751630]</w:t>
      </w:r>
      <w:r>
        <w:t xml:space="preserve">, we expect that</w:t>
      </w:r>
      <w:r>
        <w:t xml:space="preserve"> </w:t>
      </w:r>
      <w:r>
        <w:rPr>
          <w:rStyle w:val="VerbatimChar"/>
        </w:rPr>
        <w:t xml:space="preserve">EXTEND</w:t>
      </w:r>
      <w:r>
        <w:t xml:space="preserve"> </w:t>
      </w:r>
      <w:r>
        <w:t xml:space="preserve">scores may not be exclusively correlated with</w:t>
      </w:r>
      <w:r>
        <w:t xml:space="preserve"> </w:t>
      </w:r>
      <w:r>
        <w:rPr>
          <w:iCs/>
          <w:i/>
        </w:rPr>
        <w:t xml:space="preserve">TERT</w:t>
      </w:r>
      <w:r>
        <w:t xml:space="preserve"> </w:t>
      </w:r>
      <w:r>
        <w:t xml:space="preserve">alterations and expression.</w:t>
      </w:r>
    </w:p>
    <w:bookmarkEnd w:id="42"/>
    <w:bookmarkStart w:id="47"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investigated the mutational signature profiles of hypermutant (TMB &gt; 10 Mut/Mb; N = 3) and ultra-hypermutant (TMB &gt; 100 Mut/Mb; N = 4) tumors and/or derived cell lines from six patients in OpenPBTA (</w:t>
      </w:r>
      <w:r>
        <w:rPr>
          <w:bCs/>
          <w:b/>
        </w:rPr>
        <w:t xml:space="preserve">Figure {</w:t>
      </w:r>
      <w:r>
        <w:rPr>
          <w:bCs/>
          <w:b/>
        </w:rPr>
        <w:t xml:space="preserve">@fig:Fig4</w:t>
      </w:r>
      <w:r>
        <w:rPr>
          <w:bCs/>
          <w:b/>
        </w:rPr>
        <w:t xml:space="preserve">}E</w:t>
      </w:r>
      <w:r>
        <w:t xml:space="preserve">).</w:t>
      </w:r>
      <w:r>
        <w:t xml:space="preserve"> </w:t>
      </w:r>
      <w:r>
        <w:t xml:space="preserve">Five tumors were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r>
        <w:t xml:space="preserve"> </w:t>
      </w:r>
      <w:r>
        <w:t xml:space="preserve">[@doi:10.1038/s41588-019-0525-5]</w:t>
      </w:r>
      <w:r>
        <w:t xml:space="preserve">, was indeed present in tumors with previous exposure to the drug (</w:t>
      </w:r>
      <w:r>
        <w:rPr>
          <w:bCs/>
          <w:b/>
        </w:rPr>
        <w:t xml:space="preserve">Table {</w:t>
      </w:r>
      <w:r>
        <w:rPr>
          <w:bCs/>
          <w:b/>
        </w:rPr>
        <w:t xml:space="preserve">@tbl:Table2</w:t>
      </w:r>
      <w:r>
        <w:rPr>
          <w:bCs/>
          <w:b/>
        </w:rPr>
        <w:t xml:space="preserve">}</w:t>
      </w:r>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 {</w:t>
      </w:r>
      <w:r>
        <w:rPr>
          <w:bCs/>
          <w:b/>
        </w:rPr>
        <w:t xml:space="preserve">@tbl:Table2</w:t>
      </w:r>
      <w:r>
        <w:rPr>
          <w:bCs/>
          <w:b/>
        </w:rPr>
        <w:t xml:space="preserve">}</w:t>
      </w:r>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[@doi:10.1136/jmedgenet-2020-107627]</w:t>
      </w:r>
      <w:r>
        <w:t xml:space="preserve">.</w:t>
      </w:r>
      <w:r>
        <w:t xml:space="preserve"> </w:t>
      </w:r>
      <w:r>
        <w:t xml:space="preserve">Three of these patients harbored pathogenic germline variants in one of the aforementioned genes.</w:t>
      </w:r>
      <w:r>
        <w:t xml:space="preserve"> </w:t>
      </w:r>
      <w:r>
        <w:t xml:space="preserve">While we did not detect a</w:t>
      </w:r>
      <w:r>
        <w:t xml:space="preserve"> </w:t>
      </w:r>
      <w:r>
        <w:rPr>
          <w:iCs/>
          <w:i/>
        </w:rPr>
        <w:t xml:space="preserve">known</w:t>
      </w:r>
      <w:r>
        <w:t xml:space="preserve"> </w:t>
      </w:r>
      <w:r>
        <w:t xml:space="preserve">pathogenic variant in the germline of PT_VTM2STE3, this patient’s pathology report contained a self-reported</w:t>
      </w:r>
      <w:r>
        <w:t xml:space="preserve"> </w:t>
      </w:r>
      <w:r>
        <w:rPr>
          <w:iCs/>
          <w:i/>
        </w:rPr>
        <w:t xml:space="preserve">PMS2</w:t>
      </w:r>
      <w:r>
        <w:t xml:space="preserve"> </w:t>
      </w:r>
      <w:r>
        <w:t xml:space="preserve">variant, and we indeed found 19 intronic variants of unknown significance (VUS) in their</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[@doi:10.1136/jmedgenet-2020-107627]</w:t>
      </w:r>
      <w:r>
        <w:t xml:space="preserve">.</w:t>
      </w:r>
      <w:r>
        <w:t xml:space="preserve"> </w:t>
      </w:r>
      <w:r>
        <w:t xml:space="preserve">Interestingly, while the cell line derived from patient PT_VTM2STE3’s tumor at progression was not hypermutated (TMB = 5.7 Mut/Mb), it only contained the MMR2 signature, suggesting selective pressure to maintain a mismatch repair (MMR) phenotype</w:t>
      </w:r>
      <w:r>
        <w:t xml:space="preserve"> </w:t>
      </w:r>
      <w:r>
        <w:rPr>
          <w:iCs/>
          <w:i/>
        </w:rPr>
        <w:t xml:space="preserve">in vitro</w:t>
      </w:r>
      <w:r>
        <w:t xml:space="preserve">.</w:t>
      </w:r>
      <w:r>
        <w:t xml:space="preserve"> </w:t>
      </w:r>
      <w:r>
        <w:t xml:space="preserve">Only one of the two cell lines derived from patient PT_JNEV57VK’s progressive tumor was hypermutated (TMB = 35.9 Mut/Mb).</w:t>
      </w:r>
      <w:r>
        <w:t xml:space="preserve"> </w:t>
      </w:r>
      <w:r>
        <w:t xml:space="preserve">Their hypermutated cell line was strongly weighted towards signature 11, while their non-hypermutated cell line showed several lesser signature weights (1, 11, 18, 19, MMR2;</w:t>
      </w:r>
      <w:r>
        <w:t xml:space="preserve"> </w:t>
      </w:r>
      <w:r>
        <w:rPr>
          <w:bCs/>
          <w:b/>
        </w:rPr>
        <w:t xml:space="preserve">Table S2</w:t>
      </w:r>
      <w:r>
        <w:t xml:space="preserve">).</w:t>
      </w:r>
      <w:r>
        <w:t xml:space="preserve"> </w:t>
      </w:r>
      <w:r>
        <w:t xml:space="preserve">This mutational process plasticity highlights the importance of careful genomic characterization and model selection for preclinical studies.</w:t>
      </w:r>
    </w:p>
    <w:p>
      <w:pPr>
        <w:pStyle w:val="BodyText"/>
      </w:pPr>
      <w:r>
        <w:t xml:space="preserve">Signature 18, which has been associated with high genomic instability and can induce a hypermutator phenotype</w:t>
      </w:r>
      <w:r>
        <w:t xml:space="preserve"> </w:t>
      </w:r>
      <w:r>
        <w:t xml:space="preserve">[@doi:10.1038/s43018-020-0027-5]</w:t>
      </w:r>
      <w:r>
        <w:t xml:space="preserve">, was uniformly represented among hypermutant solid tumors.</w:t>
      </w:r>
      <w:r>
        <w:t xml:space="preserve"> </w:t>
      </w:r>
      <w:r>
        <w:t xml:space="preserve">Additionally, all hypermutant HGG tumors or cell lines had dysfunctional</w:t>
      </w:r>
      <w:r>
        <w:t xml:space="preserve"> </w:t>
      </w:r>
      <w:r>
        <w:rPr>
          <w:iCs/>
          <w:i/>
        </w:rPr>
        <w:t xml:space="preserve">TP53</w:t>
      </w:r>
      <w:r>
        <w:t xml:space="preserve"> </w:t>
      </w:r>
      <w:r>
        <w:t xml:space="preserve">(</w:t>
      </w:r>
      <w:r>
        <w:rPr>
          <w:bCs/>
          <w:b/>
        </w:rPr>
        <w:t xml:space="preserve">Table {</w:t>
      </w:r>
      <w:r>
        <w:rPr>
          <w:bCs/>
          <w:b/>
        </w:rPr>
        <w:t xml:space="preserve">@tbl:Table2</w:t>
      </w:r>
      <w:r>
        <w:rPr>
          <w:bCs/>
          <w:b/>
        </w:rPr>
        <w:t xml:space="preserve">}</w:t>
      </w:r>
      <w:r>
        <w:t xml:space="preserve">), consistent with previous findings that tumors with high genomic instability depend on</w:t>
      </w:r>
      <w:r>
        <w:t xml:space="preserve"> </w:t>
      </w:r>
      <w:r>
        <w:rPr>
          <w:iCs/>
          <w:i/>
        </w:rPr>
        <w:t xml:space="preserve">TP53</w:t>
      </w:r>
      <w:r>
        <w:t xml:space="preserve"> </w:t>
      </w:r>
      <w:r>
        <w:t xml:space="preserve">dysregulation</w:t>
      </w:r>
      <w:r>
        <w:t xml:space="preserve"> </w:t>
      </w:r>
      <w:r>
        <w:t xml:space="preserve">[@doi:10.1038/s43018-020-0027-5]</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tumors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previous suggestions that tumors do not generally feature both deficient homologous repair and mismatch repair</w:t>
      </w:r>
      <w:r>
        <w:t xml:space="preserve"> </w:t>
      </w:r>
      <w:r>
        <w:t xml:space="preserve">[@doi:10.1016/j.celrep.2018.03.076]</w:t>
      </w:r>
      <w:r>
        <w:t xml:space="preserve">.</w:t>
      </w:r>
    </w:p>
    <w:p>
      <w:pPr>
        <w:pStyle w:val="TableCaption"/>
      </w:pP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{#tbl:Table2}</w:t>
      </w:r>
    </w:p>
    <w:tbl>
      <w:tblPr>
        <w:tblStyle w:val="Table"/>
        <w:tblW w:type="pct" w:w="5000"/>
        <w:tblLook w:firstRow="1" w:lastRow="0" w:firstColumn="0" w:lastColumn="0" w:noHBand="0" w:noVBand="0" w:val="0020"/>
        <w:tblCaption w:val="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tbl:Table2}"/>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these oncogenic biomarkers’ known prognostic influence.</w:t>
      </w:r>
      <w:r>
        <w:t xml:space="preserve"> </w:t>
      </w:r>
      <w:r>
        <w:t xml:space="preserve">We identified several expected trends, including a significant overall survival benefit following full tumor resection (HR = 0.35, 95% CI = 0.2 - 0.62, p &lt; 0.001) or if the tumor was an LGG (HR = 0.046, 95% CI = 0.0062 - 0.34, p = 0.003), and a significant risk if the was an HGG (HR = 6.2, 95% CI = 4.0 - 9.5, p &lt; 0.001) (</w:t>
      </w:r>
      <w:r>
        <w:rPr>
          <w:bCs/>
          <w:b/>
        </w:rPr>
        <w:t xml:space="preserve">Figure {</w:t>
      </w:r>
      <w:r>
        <w:rPr>
          <w:bCs/>
          <w:b/>
        </w:rPr>
        <w:t xml:space="preserve">@fig:Fig4</w:t>
      </w:r>
      <w:r>
        <w:rPr>
          <w:bCs/>
          <w:b/>
        </w:rPr>
        <w:t xml:space="preserve">}F</w:t>
      </w:r>
      <w:r>
        <w:t xml:space="preserve">;</w:t>
      </w:r>
      <w:r>
        <w:t xml:space="preserve"> </w:t>
      </w:r>
      <w:r>
        <w:rPr>
          <w:bCs/>
          <w:b/>
        </w:rPr>
        <w:t xml:space="preserve">STAR Methods</w:t>
      </w:r>
      <w:r>
        <w:t xml:space="preserve">).</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Higher</w:t>
      </w:r>
      <w:r>
        <w:t xml:space="preserve"> </w:t>
      </w:r>
      <w:r>
        <w:rPr>
          <w:iCs/>
          <w:i/>
        </w:rPr>
        <w:t xml:space="preserve">TP53</w:t>
      </w:r>
      <w:r>
        <w:t xml:space="preserve"> </w:t>
      </w:r>
      <w:r>
        <w:t xml:space="preserve">scores were associated with significant survival risks (</w:t>
      </w:r>
      <w:r>
        <w:rPr>
          <w:bCs/>
          <w:b/>
        </w:rPr>
        <w:t xml:space="preserve">Table S4</w:t>
      </w:r>
      <w:r>
        <w:t xml:space="preserve">) within DMGs (HR = 6436, 95% CI = 2.67 - 1.55e7, p = 0.03) and ependymomas (HR = 2003, 95% CI = 9.9 - 4.05e5, p = 0.005).</w:t>
      </w:r>
      <w:r>
        <w:t xml:space="preserve"> </w:t>
      </w:r>
      <w:r>
        <w:t xml:space="preserve">Given this result, we next assessed whether different HGG molecular subtypes carry different survival risks.</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 {</w:t>
      </w:r>
      <w:r>
        <w:rPr>
          <w:bCs/>
          <w:b/>
        </w:rPr>
        <w:t xml:space="preserve">@fig:Fig4</w:t>
      </w:r>
      <w:r>
        <w:rPr>
          <w:bCs/>
          <w:b/>
        </w:rPr>
        <w:t xml:space="preserve">}G</w:t>
      </w:r>
      <w:r>
        <w:t xml:space="preserve"> </w:t>
      </w:r>
      <w:r>
        <w:t xml:space="preserve">and</w:t>
      </w:r>
      <w:r>
        <w:t xml:space="preserve"> </w:t>
      </w:r>
      <w:r>
        <w:rPr>
          <w:bCs/>
          <w:b/>
        </w:rPr>
        <w:t xml:space="preserve">Figure {</w:t>
      </w:r>
      <w:r>
        <w:rPr>
          <w:bCs/>
          <w:b/>
        </w:rPr>
        <w:t xml:space="preserve">@fig:Fig4</w:t>
      </w:r>
      <w:r>
        <w:rPr>
          <w:bCs/>
          <w:b/>
        </w:rPr>
        <w:t xml:space="preserve">}H</w:t>
      </w:r>
      <w:r>
        <w:t xml:space="preserve">), reflecting results from two recent restrospective analyses of DIPG tumors</w:t>
      </w:r>
      <w:r>
        <w:t xml:space="preserve"> </w:t>
      </w:r>
      <w:r>
        <w:t xml:space="preserve">[@doi:10.1158/1078-0432.CCR-22-0803; @doi:10.1007/s11060-021-03890-9]</w:t>
      </w:r>
      <w:r>
        <w:t xml:space="preserve">.</w:t>
      </w:r>
    </w:p>
    <w:p>
      <w:pPr>
        <w:pStyle w:val="CaptionedFigure"/>
      </w:pPr>
      <w:bookmarkStart w:id="46" w:name="fig:Fig4"/>
      <w:r>
        <w:drawing>
          <wp:inline>
            <wp:extent cx="5334000" cy="4727863"/>
            <wp:effectExtent b="0" l="0" r="0" t="0"/>
            <wp:docPr descr="TP53 and telomerase activity A, Receiver Operating Characteristic for TP53 classifier run on stranded FPKM RNA-Seq. B, Violin and strip plots of TP53 scores plotted by TP53 alteration type (Nactivated = 11, Nlost = 100, Nother = 866). C, Violin and strip plots of TP53 RNA expression plotted by TP53 activation status (Nactivated = 11, Nlost = 100, Nother = 866). D, Box plots of TP53 and telomerase (EXTEND) scores across cancer groups. TMB status is highlighted in orange (hypermutant) or red (ultra-hypermutant). E, Heatmap of RefSig mutational signatures for patients with at least one hypermutant tumor or cell line. F, Forest plot depicting prognostic effects of TP53 and telomerase scores on overall survival (OS), controlling for extent of tumor resection, LGG group, and HGG group. G, Forest plot depicting the effect of molecular subtype on HGG OS. For F and G, hazard ratios (HR) with 95% confidence intervals and p-values (multivariate Cox) are listed. Significant p-values are denoted with black diamonds. Reference groups are denoted by grey diamonds. H, Kaplan-Meier curve of HGGs by molecular subtype. Box plot represents 5% (lower whisker), 25% (lower box), 50% (median), 75% (upper box), and 95% (upper whisker) quantiles." title="" id="44" name="Picture"/>
            <a:graphic>
              <a:graphicData uri="http://schemas.openxmlformats.org/drawingml/2006/picture">
                <pic:pic>
                  <pic:nvPicPr>
                    <pic:cNvPr descr="https://raw.githubusercontent.com/AlexsLemonade/OpenPBTA-analysis/37ec62fdc2fd9ff157f2f2c10b69e9bb36673363/figures/pngs/figure4.png?sanitize=true" id="45" name="Picture"/>
                    <pic:cNvPicPr>
                      <a:picLocks noChangeArrowheads="1" noChangeAspect="1"/>
                    </pic:cNvPicPr>
                  </pic:nvPicPr>
                  <pic:blipFill>
                    <a:blip r:embed="rId43"/>
                    <a:stretch>
                      <a:fillRect/>
                    </a:stretch>
                  </pic:blipFill>
                  <pic:spPr bwMode="auto">
                    <a:xfrm>
                      <a:off x="0" y="0"/>
                      <a:ext cx="5334000" cy="4727863"/>
                    </a:xfrm>
                    <a:prstGeom prst="rect">
                      <a:avLst/>
                    </a:prstGeom>
                    <a:noFill/>
                    <a:ln w="9525">
                      <a:noFill/>
                      <a:headEnd/>
                      <a:tailEnd/>
                    </a:ln>
                  </pic:spPr>
                </pic:pic>
              </a:graphicData>
            </a:graphic>
          </wp:inline>
        </w:drawing>
      </w:r>
      <w:bookmarkEnd w:id="46"/>
    </w:p>
    <w:p>
      <w:pPr>
        <w:pStyle w:val="ImageCaption"/>
      </w:pP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stranded FPKM RNA-Seq. B, Violin and strip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TMB status is highlighted in orange (hypermutant) or red (ultra-hypermutant). E, Heatmap of RefSig mutational signatures for patients with at least one hypermutant tumor or cell line. F, Forest plot depicting prognostic effects of</w:t>
      </w:r>
      <w:r>
        <w:t xml:space="preserve"> </w:t>
      </w:r>
      <w:r>
        <w:rPr>
          <w:iCs/>
          <w:i/>
        </w:rPr>
        <w:t xml:space="preserve">TP53</w:t>
      </w:r>
      <w:r>
        <w:t xml:space="preserve"> </w:t>
      </w:r>
      <w:r>
        <w:t xml:space="preserve">and telomerase scores on overall survival (OS), controlling for extent of tumor resection, LGG group, and HGG group. G, Forest plot depicting the effect of molecular subtype on HGG OS. For F and G, hazard ratios (HR) with 95% confidence intervals and p-values (multivariate Cox) are listed. Significant p-values are denoted with black diamonds. Reference groups are denoted by grey diamonds. H, Kaplan-Meier curve of HGGs by molecular subtype. Box plot represents 5% (lower whisker), 25% (lower box), 50% (median), 75% (upper box), and 95% (upper whisker) quantiles.</w:t>
      </w:r>
    </w:p>
    <w:bookmarkEnd w:id="47"/>
    <w:bookmarkStart w:id="52"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 {</w:t>
      </w:r>
      <w:r>
        <w:rPr>
          <w:bCs/>
          <w:b/>
        </w:rPr>
        <w:t xml:space="preserve">@fig:Fig5</w:t>
      </w:r>
      <w:r>
        <w:rPr>
          <w:bCs/>
          <w:b/>
        </w:rPr>
        <w:t xml:space="preserve">}A</w:t>
      </w:r>
      <w:r>
        <w:t xml:space="preserve">) showed expected histological clustering of brain tumors.</w:t>
      </w:r>
      <w:r>
        <w:t xml:space="preserve"> </w:t>
      </w:r>
      <w:r>
        <w:t xml:space="preserve">We further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 {</w:t>
      </w:r>
      <w:r>
        <w:rPr>
          <w:bCs/>
          <w:b/>
        </w:rPr>
        <w:t xml:space="preserve">@fig:S6</w:t>
      </w:r>
      <w:r>
        <w:rPr>
          <w:bCs/>
          <w:b/>
        </w:rPr>
        <w:t xml:space="preserve">}A</w:t>
      </w:r>
      <w:r>
        <w:t xml:space="preserve">).</w:t>
      </w:r>
      <w:r>
        <w:t xml:space="preserve"> </w:t>
      </w:r>
      <w:r>
        <w:t xml:space="preserve">Medulloblastoma (MB) tumors clustered by molecular subtype, with WNT and SHH in distinct clusters and Groups 3 and 4 showing some expected overlap (</w:t>
      </w:r>
      <w:r>
        <w:rPr>
          <w:bCs/>
          <w:b/>
        </w:rPr>
        <w:t xml:space="preserve">Figure {</w:t>
      </w:r>
      <w:r>
        <w:rPr>
          <w:bCs/>
          <w:b/>
        </w:rPr>
        <w:t xml:space="preserve">@fig:S6</w:t>
      </w:r>
      <w:r>
        <w:rPr>
          <w:bCs/>
          <w:b/>
        </w:rPr>
        <w:t xml:space="preserve">}B</w:t>
      </w:r>
      <w:r>
        <w:t xml:space="preserve">).</w:t>
      </w:r>
      <w:r>
        <w:t xml:space="preserve"> </w:t>
      </w:r>
      <w:r>
        <w:t xml:space="preserve">Notably, two MB tumors annotated as SHH did not cluster with the other MB tumors and one clustered with Group 3/4 tumors, suggesting potential subtype misclassification or different underlying biology of these two tumors.</w:t>
      </w:r>
      <w:r>
        <w:t xml:space="preserve"> </w:t>
      </w:r>
      <w:r>
        <w:rPr>
          <w:iCs/>
          <w:i/>
        </w:rPr>
        <w:t xml:space="preserve">BRAF</w:t>
      </w:r>
      <w:r>
        <w:t xml:space="preserve">-driven LGGs (</w:t>
      </w:r>
      <w:r>
        <w:rPr>
          <w:bCs/>
          <w:b/>
        </w:rPr>
        <w:t xml:space="preserve">Figure {</w:t>
      </w:r>
      <w:r>
        <w:rPr>
          <w:bCs/>
          <w:b/>
        </w:rPr>
        <w:t xml:space="preserve">@fig:S6</w:t>
      </w:r>
      <w:r>
        <w:rPr>
          <w:bCs/>
          <w:b/>
        </w:rPr>
        <w:t xml:space="preserve">}C</w:t>
      </w:r>
      <w:r>
        <w:t xml:space="preserve">) fell into three separate clusters, suggesting additional shared biology within each cluster.</w:t>
      </w:r>
      <w:r>
        <w:t xml:space="preserve"> </w:t>
      </w:r>
      <w:r>
        <w:t xml:space="preserve">Histone H3 G35-mutant HGGs generally clustered together and away from K28-mutant tumors (</w:t>
      </w:r>
      <w:r>
        <w:rPr>
          <w:bCs/>
          <w:b/>
        </w:rPr>
        <w:t xml:space="preserve">Figure {</w:t>
      </w:r>
      <w:r>
        <w:rPr>
          <w:bCs/>
          <w:b/>
        </w:rPr>
        <w:t xml:space="preserve">@fig:S6</w:t>
      </w:r>
      <w:r>
        <w:rPr>
          <w:bCs/>
          <w:b/>
        </w:rPr>
        <w:t xml:space="preserve">}D</w:t>
      </w:r>
      <w:r>
        <w:t xml:space="preserve">).</w:t>
      </w:r>
      <w:r>
        <w:t xml:space="preserve"> </w:t>
      </w:r>
      <w:r>
        <w:t xml:space="preserve">Interestingly, although H3 K28-mutant and H3 wildtype tumors have different biological drivers</w:t>
      </w:r>
      <w:r>
        <w:t xml:space="preserve"> </w:t>
      </w:r>
      <w:r>
        <w:t xml:space="preserve">[@doi:10.1126/science.1232245]</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we lack power to detect transcriptional differences.</w:t>
      </w:r>
    </w:p>
    <w:p>
      <w:pPr>
        <w:pStyle w:val="BodyText"/>
      </w:pPr>
      <w:r>
        <w:t xml:space="preserve">We performed GSVA for Hallmark cancer gene sets (</w:t>
      </w:r>
      <w:r>
        <w:rPr>
          <w:bCs/>
          <w:b/>
        </w:rPr>
        <w:t xml:space="preserve">Figure {</w:t>
      </w:r>
      <w:r>
        <w:rPr>
          <w:bCs/>
          <w:b/>
        </w:rPr>
        <w:t xml:space="preserve">@fig:Fig5</w:t>
      </w:r>
      <w:r>
        <w:rPr>
          <w:bCs/>
          <w:b/>
        </w:rPr>
        <w:t xml:space="preserve">}B</w:t>
      </w:r>
      <w:r>
        <w:t xml:space="preserve">) and quantified immune cell fractions using quanTIseq (</w:t>
      </w:r>
      <w:r>
        <w:rPr>
          <w:bCs/>
          <w:b/>
        </w:rPr>
        <w:t xml:space="preserve">Figure {</w:t>
      </w:r>
      <w:r>
        <w:rPr>
          <w:bCs/>
          <w:b/>
        </w:rPr>
        <w:t xml:space="preserve">@fig:Fig5</w:t>
      </w:r>
      <w:r>
        <w:rPr>
          <w:bCs/>
          <w:b/>
        </w:rPr>
        <w:t xml:space="preserve">}C</w:t>
      </w:r>
      <w:r>
        <w:t xml:space="preserve"> </w:t>
      </w:r>
      <w:r>
        <w:t xml:space="preserve">and</w:t>
      </w:r>
      <w:r>
        <w:t xml:space="preserve"> </w:t>
      </w:r>
      <w:r>
        <w:rPr>
          <w:bCs/>
          <w:b/>
        </w:rPr>
        <w:t xml:space="preserve">Figure {</w:t>
      </w:r>
      <w:r>
        <w:rPr>
          <w:bCs/>
          <w:b/>
        </w:rPr>
        <w:t xml:space="preserve">@fig:S6</w:t>
      </w:r>
      <w:r>
        <w:rPr>
          <w:bCs/>
          <w:b/>
        </w:rPr>
        <w:t xml:space="preserve">}E</w:t>
      </w:r>
      <w:r>
        <w:t xml:space="preserve">), results from which recapitulated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[@doi:10.3390/genes8040107]</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[@pubmed:11511364]</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multiple cancer group comparisons) of these pathways.</w:t>
      </w:r>
      <w:r>
        <w:t xml:space="preserve"> </w:t>
      </w:r>
      <w:r>
        <w:t xml:space="preserve">Schwannomas and neurofibromas, which have an inflammatory immune microenvironment of T and B lymphocytes and tumor-associated macrophages (TAMs), are driven by upregulation of cytokines such as IFN</w:t>
      </w:r>
      <m:oMath>
        <m:r>
          <m:t>γ</m:t>
        </m:r>
      </m:oMath>
      <w:r>
        <w:t xml:space="preserve">, IL-1, and IL-6, and TNF</w:t>
      </w:r>
      <m:oMath>
        <m:r>
          <m:t>α</m:t>
        </m:r>
      </m:oMath>
      <w:r>
        <w:t xml:space="preserve"> </w:t>
      </w:r>
      <w:r>
        <w:t xml:space="preserve">[@doi:10.1093/noajnl/vdaa023]</w:t>
      </w:r>
      <w:r>
        <w:t xml:space="preserve">.</w:t>
      </w:r>
      <w:r>
        <w:t xml:space="preserve"> </w:t>
      </w:r>
      <w:r>
        <w:t xml:space="preserve">GSVA releaved significant upregulation of these cytokines in hallmark pathways (Bonferroni-corrected p &lt; 0.05, multiple cancer group comparisons) (</w:t>
      </w:r>
      <w:r>
        <w:rPr>
          <w:bCs/>
          <w:b/>
        </w:rPr>
        <w:t xml:space="preserve">Figure {</w:t>
      </w:r>
      <w:r>
        <w:rPr>
          <w:bCs/>
          <w:b/>
        </w:rPr>
        <w:t xml:space="preserve">@fig:Fig5</w:t>
      </w:r>
      <w:r>
        <w:rPr>
          <w:bCs/>
          <w:b/>
        </w:rPr>
        <w:t xml:space="preserve">}B</w:t>
      </w:r>
      <w:r>
        <w:t xml:space="preserve">), and monocytes dominated these tumors’ immune cell repertoire (</w:t>
      </w:r>
      <w:r>
        <w:rPr>
          <w:bCs/>
          <w:b/>
        </w:rPr>
        <w:t xml:space="preserve">Figure {</w:t>
      </w:r>
      <w:r>
        <w:rPr>
          <w:bCs/>
          <w:b/>
        </w:rPr>
        <w:t xml:space="preserve">@fig:Fig5</w:t>
      </w:r>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both LGGs and craniopharyngiomas when compared to either medulloblastoma or ependymomas (Bonferroni-corrected p &lt; 0.05) (</w:t>
      </w:r>
      <w:r>
        <w:rPr>
          <w:bCs/>
          <w:b/>
        </w:rPr>
        <w:t xml:space="preserve">Figure {</w:t>
      </w:r>
      <w:r>
        <w:rPr>
          <w:bCs/>
          <w:b/>
        </w:rPr>
        <w:t xml:space="preserve">@fig:Fig5</w:t>
      </w:r>
      <w:r>
        <w:rPr>
          <w:bCs/>
          <w:b/>
        </w:rPr>
        <w:t xml:space="preserve">}B</w:t>
      </w:r>
      <w:r>
        <w:t xml:space="preserve">).</w:t>
      </w:r>
      <w:r>
        <w:t xml:space="preserve"> </w:t>
      </w:r>
      <w:r>
        <w:t xml:space="preserve">Together, these results support previous proteogenomic findings that aggressive medulloblastomas and ependymomas have lower immune infiltration compared to</w:t>
      </w:r>
      <w:r>
        <w:t xml:space="preserve"> </w:t>
      </w:r>
      <w:r>
        <w:rPr>
          <w:iCs/>
          <w:i/>
        </w:rPr>
        <w:t xml:space="preserve">BRAF</w:t>
      </w:r>
      <w:r>
        <w:t xml:space="preserve">-driven LGGs and craniopharyngiomas</w:t>
      </w:r>
      <w:r>
        <w:t xml:space="preserve"> </w:t>
      </w:r>
      <w:r>
        <w:t xml:space="preserve">[@doi:10.1016/j.cell.2020.10.044]</w:t>
      </w:r>
      <w:r>
        <w:t xml:space="preserve">.</w:t>
      </w:r>
    </w:p>
    <w:p>
      <w:pPr>
        <w:pStyle w:val="BodyText"/>
      </w:pPr>
      <w:r>
        <w:t xml:space="preserve">Although CD8+ T-cell infiltration across all cancer groups was minimal (</w:t>
      </w:r>
      <w:r>
        <w:rPr>
          <w:bCs/>
          <w:b/>
        </w:rPr>
        <w:t xml:space="preserve">Figure {</w:t>
      </w:r>
      <w:r>
        <w:rPr>
          <w:bCs/>
          <w:b/>
        </w:rPr>
        <w:t xml:space="preserve">@fig:Fig5</w:t>
      </w:r>
      <w:r>
        <w:rPr>
          <w:bCs/>
          <w:b/>
        </w:rPr>
        <w:t xml:space="preserve">}C</w:t>
      </w:r>
      <w:r>
        <w:t xml:space="preserve">), we observed signal in specific cancer molecular subtypes (Groups 3 and 4 medulloblastoma) as well as outlier tumors (BRAF-driven LGG, BRAF-driven and wildtype ganglioglioma, and CNS embryonal NOS;</w:t>
      </w:r>
      <w:r>
        <w:t xml:space="preserve"> </w:t>
      </w:r>
      <w:r>
        <w:rPr>
          <w:bCs/>
          <w:b/>
        </w:rPr>
        <w:t xml:space="preserve">Figure {</w:t>
      </w:r>
      <w:r>
        <w:rPr>
          <w:bCs/>
          <w:b/>
        </w:rPr>
        <w:t xml:space="preserve">@fig:S6</w:t>
      </w:r>
      <w:r>
        <w:rPr>
          <w:bCs/>
          <w:b/>
        </w:rPr>
        <w:t xml:space="preserve">}E</w:t>
      </w:r>
      <w:r>
        <w:t xml:space="preserve">)</w:t>
      </w:r>
      <w:r>
        <w:t xml:space="preserve"> </w:t>
      </w:r>
      <w:r>
        <w:t xml:space="preserve">Surprisingly, the classically immunologically-cold HGGs and DMGs</w:t>
      </w:r>
      <w:r>
        <w:t xml:space="preserve"> </w:t>
      </w:r>
      <w:r>
        <w:t xml:space="preserve">[@doi:10.1186/s40478-018-0553-x; @doi:10.1093/brain/awab155]</w:t>
      </w:r>
      <w:r>
        <w:t xml:space="preserve"> </w:t>
      </w:r>
      <w:r>
        <w:t xml:space="preserve">contained higher overall fractions of immune cells, primarily monocytes, dendritic cells, and NK cells (</w:t>
      </w:r>
      <w:r>
        <w:rPr>
          <w:bCs/>
          <w:b/>
        </w:rPr>
        <w:t xml:space="preserve">Figure {</w:t>
      </w:r>
      <w:r>
        <w:rPr>
          <w:bCs/>
          <w:b/>
        </w:rPr>
        <w:t xml:space="preserve">@fig:Fig5</w:t>
      </w:r>
      <w:r>
        <w:rPr>
          <w:bCs/>
          <w:b/>
        </w:rPr>
        <w:t xml:space="preserve">}C</w:t>
      </w:r>
      <w:r>
        <w:t xml:space="preserve">).</w:t>
      </w:r>
      <w:r>
        <w:t xml:space="preserve"> </w:t>
      </w:r>
      <w:r>
        <w:t xml:space="preserve">Thus, quanTIseq might actually have captured microglia within these immune cell fractions.</w:t>
      </w:r>
    </w:p>
    <w:p>
      <w:pPr>
        <w:pStyle w:val="BodyText"/>
      </w:pPr>
      <w:r>
        <w:t xml:space="preserve">While we did not detect notable prognostic effects of immune cell infiltration on overall survival in HGGs or DMGs, we found that high levels of macrophage M1 and monocytes were associated with poorer overall survival (monocyte HR = 2.1e18, 95% CI = 3.80e5 - 1.2e31, p = 0.005, multivariate Cox) in medulloblastomas (</w:t>
      </w:r>
      <w:r>
        <w:rPr>
          <w:bCs/>
          <w:b/>
        </w:rPr>
        <w:t xml:space="preserve">Figure {</w:t>
      </w:r>
      <w:r>
        <w:rPr>
          <w:bCs/>
          <w:b/>
        </w:rPr>
        <w:t xml:space="preserve">@fig:Fig5</w:t>
      </w:r>
      <w:r>
        <w:rPr>
          <w:bCs/>
          <w:b/>
        </w:rPr>
        <w:t xml:space="preserve">}D</w:t>
      </w:r>
      <w:r>
        <w:t xml:space="preserve">).</w:t>
      </w:r>
      <w:r>
        <w:t xml:space="preserve"> </w:t>
      </w:r>
      <w:r>
        <w:t xml:space="preserve">We further reproduced previous findings (</w:t>
      </w:r>
      <w:r>
        <w:rPr>
          <w:bCs/>
          <w:b/>
        </w:rPr>
        <w:t xml:space="preserve">Figure {</w:t>
      </w:r>
      <w:r>
        <w:rPr>
          <w:bCs/>
          <w:b/>
        </w:rPr>
        <w:t xml:space="preserve">@fig:Fig5</w:t>
      </w:r>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[@doi:10.18632/oncotarget.24951]</w:t>
      </w:r>
      <w:r>
        <w:t xml:space="preserve">.</w:t>
      </w:r>
      <w:r>
        <w:t xml:space="preserve"> </w:t>
      </w:r>
      <w:r>
        <w:t xml:space="preserve">We also found that higher expression of</w:t>
      </w:r>
      <w:r>
        <w:t xml:space="preserve"> </w:t>
      </w:r>
      <w:r>
        <w:rPr>
          <w:iCs/>
          <w:i/>
        </w:rPr>
        <w:t xml:space="preserve">CD274</w:t>
      </w:r>
      <w:r>
        <w:t xml:space="preserve"> </w:t>
      </w:r>
      <w:r>
        <w:t xml:space="preserve">was significantly associated with improved overall prognosis for medulloblastoma tumors, although only marginally (HR = 0.0012, 95% CI = 7.5e−06 - 0.18, p = 0.008, multivariate Cox) (</w:t>
      </w:r>
      <w:r>
        <w:rPr>
          <w:bCs/>
          <w:b/>
        </w:rPr>
        <w:t xml:space="preserve">Figure {</w:t>
      </w:r>
      <w:r>
        <w:rPr>
          <w:bCs/>
          <w:b/>
        </w:rPr>
        <w:t xml:space="preserve">@fig:Fig5</w:t>
      </w:r>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observed in WNT subtype tumors by us and others</w:t>
      </w:r>
      <w:r>
        <w:t xml:space="preserve"> </w:t>
      </w:r>
      <w:r>
        <w:t xml:space="preserve">[@doi:10.1080/2162402X.2018.1462430]</w:t>
      </w:r>
      <w:r>
        <w:t xml:space="preserve">, as this diagnosis carries the best prognosis of all medulloblastoma subgroups (</w:t>
      </w:r>
      <w:r>
        <w:rPr>
          <w:bCs/>
          <w:b/>
        </w:rPr>
        <w:t xml:space="preserve">Figure {</w:t>
      </w:r>
      <w:r>
        <w:rPr>
          <w:bCs/>
          <w:b/>
        </w:rPr>
        <w:t xml:space="preserve">@fig:Fig5</w:t>
      </w:r>
      <w:r>
        <w:rPr>
          <w:bCs/>
          <w:b/>
        </w:rPr>
        <w:t xml:space="preserve">}E</w:t>
      </w:r>
      <w:r>
        <w:t xml:space="preserve">).</w:t>
      </w:r>
    </w:p>
    <w:p>
      <w:pPr>
        <w:pStyle w:val="BodyText"/>
      </w:pPr>
      <w:r>
        <w:t xml:space="preserve">We additionally explored the ratio of CD8+ to CD4+ T cells across tumor subtypes.</w:t>
      </w:r>
      <w:r>
        <w:t xml:space="preserve"> </w:t>
      </w:r>
      <w:r>
        <w:t xml:space="preserve">This ratio has been associated with better immunotherapy response and prognosis following PD-L1 inhibition in non-small cell lung cancer or adoptive T cell therapy in multiple stage III or IV cancers</w:t>
      </w:r>
      <w:r>
        <w:t xml:space="preserve"> </w:t>
      </w:r>
      <w:r>
        <w:t xml:space="preserve">[@doi:10.1136/jitc-2021-004012; @doi:10.4236/jct.2013.48164]</w:t>
      </w:r>
      <w:r>
        <w:t xml:space="preserve">.</w:t>
      </w:r>
      <w:r>
        <w:t xml:space="preserve"> </w:t>
      </w:r>
      <w:r>
        <w:t xml:space="preserve">While adamantinomatous craniopharyngiomas and Group 3 and Group 4 medulloblastomas had the highest ratios (</w:t>
      </w:r>
      <w:r>
        <w:rPr>
          <w:bCs/>
          <w:b/>
        </w:rPr>
        <w:t xml:space="preserve">Figure {</w:t>
      </w:r>
      <w:r>
        <w:rPr>
          <w:bCs/>
          <w:b/>
        </w:rPr>
        <w:t xml:space="preserve">@fig:S6</w:t>
      </w:r>
      <w:r>
        <w:rPr>
          <w:bCs/>
          <w:b/>
        </w:rPr>
        <w:t xml:space="preserve">}F</w:t>
      </w:r>
      <w:r>
        <w:t xml:space="preserve">), very few tumors had ratios greater than 1, highlighting an urgent need to identify novel therapeutics for pediatric brain tumors with poor prognosis.</w:t>
      </w:r>
    </w:p>
    <w:p>
      <w:pPr>
        <w:pStyle w:val="BodyText"/>
      </w:pPr>
      <w:r>
        <w:t xml:space="preserve">Finally, we explored the potential influence of tumor purity by repeating selected transcriptomic analyses restricted to samples with high tumor purities within their cancer group(see</w:t>
      </w:r>
      <w:r>
        <w:t xml:space="preserve"> </w:t>
      </w:r>
      <w:r>
        <w:rPr>
          <w:bCs/>
          <w:b/>
        </w:rPr>
        <w:t xml:space="preserve">STAR Methods</w:t>
      </w:r>
      <w:r>
        <w:t xml:space="preserve">).</w:t>
      </w:r>
      <w:r>
        <w:t xml:space="preserve"> </w:t>
      </w:r>
      <w:r>
        <w:t xml:space="preserve">These new analyses were broadly consistent (</w:t>
      </w:r>
      <w:r>
        <w:rPr>
          <w:bCs/>
          <w:b/>
        </w:rPr>
        <w:t xml:space="preserve">Figure {</w:t>
      </w:r>
      <w:r>
        <w:rPr>
          <w:bCs/>
          <w:b/>
        </w:rPr>
        <w:t xml:space="preserve">@fig:S7</w:t>
      </w:r>
      <w:r>
        <w:rPr>
          <w:bCs/>
          <w:b/>
        </w:rPr>
        <w:t xml:space="preserve">}D-I</w:t>
      </w:r>
      <w:r>
        <w:t xml:space="preserve">) with results derived from all stranded RNA-Seq samples.</w:t>
      </w:r>
    </w:p>
    <w:p>
      <w:pPr>
        <w:pStyle w:val="CaptionedFigure"/>
      </w:pPr>
      <w:bookmarkStart w:id="51" w:name="fig:Fig5"/>
      <w:r>
        <w:drawing>
          <wp:inline>
            <wp:extent cx="5334000" cy="5076511"/>
            <wp:effectExtent b="0" l="0" r="0" t="0"/>
            <wp:docPr descr="Transcriptomic and immune landscape of pediatric brain tumors A, First two dimensions from UMAP of transcriptome data. Points colored by broad histology. B, Heatmap of with significant GSVA scores for Hallmark gene set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 CD274 expression, immune cell proportion, and extent of tumor resection on OS of medulloblastoma patients. HRs with 95% confidence intervals and p-values (multivariate Cox) are listed. Significant p-values are denoted with black diamonds. Reference groups are denoted by grey diamonds. Note: the Macrophage M1 HR was 0 (coefficient = -9.90e+4) with infinite upper and lower CIs, and thus was not included in the figure. E, Box plot of CD274 expression (log2 FPKM) for medulloblastomas grouped by subtype. Bonferroni-corrected p-values from Wilcoxon tests are shown. Box plot represents 5% (lower whisker), 25% (lower box), 50% (median), 75% (upper box), and 95% (upper whisker) quantiles. Only stranded RNA-Seq data is plotted." title="" id="49" name="Picture"/>
            <a:graphic>
              <a:graphicData uri="http://schemas.openxmlformats.org/drawingml/2006/picture">
                <pic:pic>
                  <pic:nvPicPr>
                    <pic:cNvPr descr="https://raw.githubusercontent.com/AlexsLemonade/OpenPBTA-analysis/37ec62fdc2fd9ff157f2f2c10b69e9bb36673363/figures/pngs/figure5.png?sanitize=true" id="50" name="Picture"/>
                    <pic:cNvPicPr>
                      <a:picLocks noChangeArrowheads="1" noChangeAspect="1"/>
                    </pic:cNvPicPr>
                  </pic:nvPicPr>
                  <pic:blipFill>
                    <a:blip r:embed="rId48"/>
                    <a:stretch>
                      <a:fillRect/>
                    </a:stretch>
                  </pic:blipFill>
                  <pic:spPr bwMode="auto">
                    <a:xfrm>
                      <a:off x="0" y="0"/>
                      <a:ext cx="5334000" cy="5076511"/>
                    </a:xfrm>
                    <a:prstGeom prst="rect">
                      <a:avLst/>
                    </a:prstGeom>
                    <a:noFill/>
                    <a:ln w="9525">
                      <a:noFill/>
                      <a:headEnd/>
                      <a:tailEnd/>
                    </a:ln>
                  </pic:spPr>
                </pic:pic>
              </a:graphicData>
            </a:graphic>
          </wp:inline>
        </w:drawing>
      </w:r>
      <w:bookmarkEnd w:id="51"/>
    </w:p>
    <w:p>
      <w:pPr>
        <w:pStyle w:val="ImageCaption"/>
      </w:pPr>
      <w:r>
        <w:rPr>
          <w:bCs/>
          <w:b/>
        </w:rPr>
        <w:t xml:space="preserve">Transcriptomic and immune landscape of pediatric brain tumors</w:t>
      </w:r>
      <w:r>
        <w:t xml:space="preserve"> </w:t>
      </w:r>
      <w:r>
        <w:t xml:space="preserve">A, First two dimensions from UMAP of transcriptome data. Points colored by broad histology. B, Heatmap of with significant GSVA scores for Hallmark gene sets with tumors ordered by cancer group. C, Box plots of quanTIseq estimates of immune cell proportions in select cancer groups with N &gt; 15 tumors. Note: other HGGs and other LGGs have immune cell proportions similar to DMG and pilocytic astrocytoma, respectively, and are not shown. D, Forest plot depicting additive effects of</w:t>
      </w:r>
      <w:r>
        <w:t xml:space="preserve"> </w:t>
      </w:r>
      <w:r>
        <w:rPr>
          <w:iCs/>
          <w:i/>
        </w:rPr>
        <w:t xml:space="preserve">CD274</w:t>
      </w:r>
      <w:r>
        <w:t xml:space="preserve"> </w:t>
      </w:r>
      <w:r>
        <w:t xml:space="preserve">expression, immune cell proportion, and extent of tumor resection on OS of medulloblastoma patients. HRs with 95% confidence intervals and p-values (multivariate Cox) are listed. Significant p-values are denoted with black diamonds. Reference groups are denoted by grey diamonds. Note: the Macrophage M1 HR was 0 (coefficient = -9.90e+4) with infinite upper and lower CIs, and thus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medulloblastomas grouped by subtype. Bonferroni-corrected p-values from Wilcoxon tests are shown. Box plot represents 5% (lower whisker), 25% (lower box), 50% (median), 75% (upper box), and 95% (upper whisker) quantiles. Only stranded RNA-Seq data is plotted.</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hyperlink" Id="rId20" Target="https://CBTN.org" TargetMode="External" /><Relationship Type="http://schemas.openxmlformats.org/officeDocument/2006/relationships/hyperlink" Id="rId24" Target="https://github.com/AlexsLemonade/OpenPBTA-analysis" TargetMode="External" /><Relationship Type="http://schemas.openxmlformats.org/officeDocument/2006/relationships/hyperlink" Id="rId25" Target="https://github.com/AlexsLemonade/OpenPBTA-manuscript" TargetMode="External" /><Relationship Type="http://schemas.openxmlformats.org/officeDocument/2006/relationships/hyperlink" Id="rId22" Target="https://kidsfirstdrc.org/" TargetMode="External" /><Relationship Type="http://schemas.openxmlformats.org/officeDocument/2006/relationships/hyperlink" Id="rId21" Target="https://pnoc.us/" TargetMode="External" /><Relationship Type="http://schemas.openxmlformats.org/officeDocument/2006/relationships/hyperlink" Id="rId23" Target="https://www.cavatica.org/" TargetMode="External" /></Relationships>
</file>

<file path=word/_rels/footnotes.xml.rels><?xml version="1.0" encoding="UTF-8"?><Relationships xmlns="http://schemas.openxmlformats.org/package/2006/relationships"><Relationship Type="http://schemas.openxmlformats.org/officeDocument/2006/relationships/hyperlink" Id="rId20" Target="https://CBTN.org" TargetMode="External" /><Relationship Type="http://schemas.openxmlformats.org/officeDocument/2006/relationships/hyperlink" Id="rId24" Target="https://github.com/AlexsLemonade/OpenPBTA-analysis" TargetMode="External" /><Relationship Type="http://schemas.openxmlformats.org/officeDocument/2006/relationships/hyperlink" Id="rId25" Target="https://github.com/AlexsLemonade/OpenPBTA-manuscript" TargetMode="External" /><Relationship Type="http://schemas.openxmlformats.org/officeDocument/2006/relationships/hyperlink" Id="rId22" Target="https://kidsfirstdrc.org/" TargetMode="External" /><Relationship Type="http://schemas.openxmlformats.org/officeDocument/2006/relationships/hyperlink" Id="rId21" Target="https://pnoc.us/" TargetMode="External" /><Relationship Type="http://schemas.openxmlformats.org/officeDocument/2006/relationships/hyperlink" Id="rId23" Target="https://www.cavatica.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2023-04-04T20:06:12Z</dcterms:created>
  <dcterms:modified xsi:type="dcterms:W3CDTF">2023-04-04T20:06:12Z</dcterms:modified>
</cp:coreProperties>
</file>

<file path=docProps/custom.xml><?xml version="1.0" encoding="utf-8"?>
<Properties xmlns="http://schemas.openxmlformats.org/officeDocument/2006/custom-properties" xmlns:vt="http://schemas.openxmlformats.org/officeDocument/2006/docPropsVTypes"/>
</file>